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5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0"/>
        <w:gridCol w:w="2430"/>
        <w:gridCol w:w="2520"/>
        <w:gridCol w:w="2700"/>
      </w:tblGrid>
      <w:tr w:rsidR="00942B53" w:rsidRPr="00EB6C3B" w:rsidTr="008E3C9A">
        <w:trPr>
          <w:cantSplit/>
          <w:tblHeader/>
        </w:trPr>
        <w:tc>
          <w:tcPr>
            <w:tcW w:w="279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Legal Name:</w:t>
            </w:r>
          </w:p>
          <w:p w:rsidR="00942B53" w:rsidRPr="00EB6C3B" w:rsidRDefault="00942B53" w:rsidP="003D0C20">
            <w:pPr>
              <w:spacing w:after="0" w:line="240" w:lineRule="auto"/>
              <w:rPr>
                <w:rFonts w:ascii="Garamond" w:eastAsia="Times New Roman" w:hAnsi="Garamond" w:cstheme="minorHAnsi"/>
                <w:sz w:val="20"/>
                <w:szCs w:val="20"/>
                <w:lang w:eastAsia="en-AU"/>
              </w:rPr>
            </w:pPr>
          </w:p>
        </w:tc>
        <w:tc>
          <w:tcPr>
            <w:tcW w:w="7650" w:type="dxa"/>
            <w:gridSpan w:val="3"/>
          </w:tcPr>
          <w:p w:rsidR="003D0C20" w:rsidRPr="00EB6C3B" w:rsidRDefault="00BB6FE6" w:rsidP="00BB6FE6">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Regional Plan Association</w:t>
            </w:r>
          </w:p>
        </w:tc>
      </w:tr>
      <w:tr w:rsidR="00942B53" w:rsidRPr="00EB6C3B" w:rsidTr="008E3C9A">
        <w:trPr>
          <w:cantSplit/>
          <w:tblHeader/>
        </w:trPr>
        <w:tc>
          <w:tcPr>
            <w:tcW w:w="2790" w:type="dxa"/>
            <w:shd w:val="pct12" w:color="auto" w:fill="FFFFFF"/>
          </w:tcPr>
          <w:p w:rsidR="00942B53" w:rsidRPr="00EB6C3B" w:rsidRDefault="00942B53" w:rsidP="005721B8">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Report Period </w:t>
            </w:r>
            <w:r w:rsidRPr="00EB6C3B">
              <w:rPr>
                <w:rFonts w:ascii="Garamond" w:eastAsia="Times New Roman" w:hAnsi="Garamond" w:cstheme="minorHAnsi"/>
                <w:b/>
                <w:sz w:val="16"/>
                <w:szCs w:val="16"/>
                <w:lang w:eastAsia="en-AU"/>
              </w:rPr>
              <w:t>(from/to)</w:t>
            </w:r>
            <w:r w:rsidRPr="00EB6C3B">
              <w:rPr>
                <w:rFonts w:ascii="Garamond" w:eastAsia="Times New Roman" w:hAnsi="Garamond" w:cstheme="minorHAnsi"/>
                <w:b/>
                <w:lang w:eastAsia="en-AU"/>
              </w:rPr>
              <w:t>:</w:t>
            </w:r>
            <w:r w:rsidR="005721B8">
              <w:rPr>
                <w:rFonts w:ascii="Garamond" w:eastAsia="Times New Roman" w:hAnsi="Garamond" w:cstheme="minorHAnsi"/>
                <w:b/>
                <w:lang w:eastAsia="en-AU"/>
              </w:rPr>
              <w:t xml:space="preserve"> </w:t>
            </w:r>
          </w:p>
        </w:tc>
        <w:tc>
          <w:tcPr>
            <w:tcW w:w="2430" w:type="dxa"/>
          </w:tcPr>
          <w:p w:rsidR="003D0C20" w:rsidRPr="00EB6C3B" w:rsidRDefault="004C07D7" w:rsidP="00EE1C3D">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1</w:t>
            </w:r>
            <w:r w:rsidR="00BB6FE6">
              <w:rPr>
                <w:rFonts w:ascii="Garamond" w:eastAsia="Times New Roman" w:hAnsi="Garamond" w:cstheme="minorHAnsi"/>
                <w:b/>
                <w:lang w:eastAsia="en-AU"/>
              </w:rPr>
              <w:t>/</w:t>
            </w:r>
            <w:r w:rsidR="00EE1C3D">
              <w:rPr>
                <w:rFonts w:ascii="Garamond" w:eastAsia="Times New Roman" w:hAnsi="Garamond" w:cstheme="minorHAnsi"/>
                <w:b/>
                <w:lang w:eastAsia="en-AU"/>
              </w:rPr>
              <w:t>1</w:t>
            </w:r>
            <w:r>
              <w:rPr>
                <w:rFonts w:ascii="Garamond" w:eastAsia="Times New Roman" w:hAnsi="Garamond" w:cstheme="minorHAnsi"/>
                <w:b/>
                <w:lang w:eastAsia="en-AU"/>
              </w:rPr>
              <w:t>/2014</w:t>
            </w:r>
            <w:r w:rsidR="00BB6FE6">
              <w:rPr>
                <w:rFonts w:ascii="Garamond" w:eastAsia="Times New Roman" w:hAnsi="Garamond" w:cstheme="minorHAnsi"/>
                <w:b/>
                <w:lang w:eastAsia="en-AU"/>
              </w:rPr>
              <w:t xml:space="preserve"> – </w:t>
            </w:r>
            <w:r>
              <w:rPr>
                <w:rFonts w:ascii="Garamond" w:eastAsia="Times New Roman" w:hAnsi="Garamond" w:cstheme="minorHAnsi"/>
                <w:b/>
                <w:lang w:eastAsia="en-AU"/>
              </w:rPr>
              <w:t>5/30</w:t>
            </w:r>
            <w:r w:rsidR="00317576">
              <w:rPr>
                <w:rFonts w:ascii="Garamond" w:eastAsia="Times New Roman" w:hAnsi="Garamond" w:cstheme="minorHAnsi"/>
                <w:b/>
                <w:lang w:eastAsia="en-AU"/>
              </w:rPr>
              <w:t>/</w:t>
            </w:r>
            <w:r>
              <w:rPr>
                <w:rFonts w:ascii="Garamond" w:eastAsia="Times New Roman" w:hAnsi="Garamond" w:cstheme="minorHAnsi"/>
                <w:b/>
                <w:lang w:eastAsia="en-AU"/>
              </w:rPr>
              <w:t>14</w:t>
            </w:r>
          </w:p>
        </w:tc>
        <w:tc>
          <w:tcPr>
            <w:tcW w:w="2520" w:type="dxa"/>
            <w:shd w:val="pct12" w:color="auto" w:fill="FFFFFF"/>
          </w:tcPr>
          <w:p w:rsidR="00942B53"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Grant Number:</w:t>
            </w:r>
            <w:r w:rsidR="00E84533">
              <w:rPr>
                <w:rFonts w:ascii="Garamond" w:eastAsia="Times New Roman" w:hAnsi="Garamond" w:cstheme="minorHAnsi"/>
                <w:b/>
                <w:lang w:eastAsia="en-AU"/>
              </w:rPr>
              <w:fldChar w:fldCharType="begin">
                <w:ffData>
                  <w:name w:val="Text184"/>
                  <w:enabled/>
                  <w:calcOnExit w:val="0"/>
                  <w:textInput/>
                </w:ffData>
              </w:fldChar>
            </w:r>
            <w:bookmarkStart w:id="0" w:name="Text184"/>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0"/>
          </w:p>
          <w:p w:rsidR="00E84533" w:rsidRPr="00EB6C3B" w:rsidRDefault="00E84533"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fldChar w:fldCharType="begin">
                <w:ffData>
                  <w:name w:val="Text180"/>
                  <w:enabled/>
                  <w:calcOnExit w:val="0"/>
                  <w:textInput/>
                </w:ffData>
              </w:fldChar>
            </w:r>
            <w:bookmarkStart w:id="1" w:name="Text180"/>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1"/>
            <w:r>
              <w:rPr>
                <w:rFonts w:ascii="Garamond" w:eastAsia="Times New Roman" w:hAnsi="Garamond" w:cstheme="minorHAnsi"/>
                <w:b/>
                <w:lang w:eastAsia="en-AU"/>
              </w:rPr>
              <w:fldChar w:fldCharType="begin">
                <w:ffData>
                  <w:name w:val="Text181"/>
                  <w:enabled/>
                  <w:calcOnExit w:val="0"/>
                  <w:textInput/>
                </w:ffData>
              </w:fldChar>
            </w:r>
            <w:bookmarkStart w:id="2" w:name="Text181"/>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2"/>
            <w:r>
              <w:rPr>
                <w:rFonts w:ascii="Garamond" w:eastAsia="Times New Roman" w:hAnsi="Garamond" w:cstheme="minorHAnsi"/>
                <w:b/>
                <w:lang w:eastAsia="en-AU"/>
              </w:rPr>
              <w:fldChar w:fldCharType="begin">
                <w:ffData>
                  <w:name w:val="Text182"/>
                  <w:enabled/>
                  <w:calcOnExit w:val="0"/>
                  <w:textInput/>
                </w:ffData>
              </w:fldChar>
            </w:r>
            <w:bookmarkStart w:id="3" w:name="Text182"/>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3"/>
            <w:r>
              <w:rPr>
                <w:rFonts w:ascii="Garamond" w:eastAsia="Times New Roman" w:hAnsi="Garamond" w:cstheme="minorHAnsi"/>
                <w:b/>
                <w:lang w:eastAsia="en-AU"/>
              </w:rPr>
              <w:fldChar w:fldCharType="begin">
                <w:ffData>
                  <w:name w:val="Text183"/>
                  <w:enabled/>
                  <w:calcOnExit w:val="0"/>
                  <w:textInput/>
                </w:ffData>
              </w:fldChar>
            </w:r>
            <w:bookmarkStart w:id="4" w:name="Text183"/>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4"/>
          </w:p>
        </w:tc>
        <w:tc>
          <w:tcPr>
            <w:tcW w:w="2700" w:type="dxa"/>
          </w:tcPr>
          <w:p w:rsidR="00743502" w:rsidRPr="00EB6C3B" w:rsidRDefault="00BB6FE6" w:rsidP="003D0C2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NYRIP0029-10</w:t>
            </w:r>
          </w:p>
        </w:tc>
      </w:tr>
      <w:tr w:rsidR="00942B53" w:rsidRPr="00EB6C3B" w:rsidTr="008E3C9A">
        <w:trPr>
          <w:cantSplit/>
          <w:tblHeader/>
        </w:trPr>
        <w:tc>
          <w:tcPr>
            <w:tcW w:w="279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POC:  </w:t>
            </w:r>
            <w:r w:rsidR="00E84533">
              <w:rPr>
                <w:rFonts w:ascii="Garamond" w:eastAsia="Times New Roman" w:hAnsi="Garamond" w:cstheme="minorHAnsi"/>
                <w:b/>
                <w:lang w:eastAsia="en-AU"/>
              </w:rPr>
              <w:fldChar w:fldCharType="begin">
                <w:ffData>
                  <w:name w:val="Text178"/>
                  <w:enabled/>
                  <w:calcOnExit w:val="0"/>
                  <w:textInput/>
                </w:ffData>
              </w:fldChar>
            </w:r>
            <w:bookmarkStart w:id="5" w:name="Text178"/>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5"/>
            <w:r w:rsidR="00E84533">
              <w:rPr>
                <w:rFonts w:ascii="Garamond" w:eastAsia="Times New Roman" w:hAnsi="Garamond" w:cstheme="minorHAnsi"/>
                <w:b/>
                <w:lang w:eastAsia="en-AU"/>
              </w:rPr>
              <w:fldChar w:fldCharType="begin">
                <w:ffData>
                  <w:name w:val="Text179"/>
                  <w:enabled/>
                  <w:calcOnExit w:val="0"/>
                  <w:textInput/>
                </w:ffData>
              </w:fldChar>
            </w:r>
            <w:bookmarkStart w:id="6" w:name="Text179"/>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6"/>
          </w:p>
        </w:tc>
        <w:tc>
          <w:tcPr>
            <w:tcW w:w="2430" w:type="dxa"/>
          </w:tcPr>
          <w:p w:rsidR="00942B53" w:rsidRPr="00EB6C3B" w:rsidRDefault="00BB6FE6" w:rsidP="00BB6FE6">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Chris Jones</w:t>
            </w:r>
          </w:p>
        </w:tc>
        <w:tc>
          <w:tcPr>
            <w:tcW w:w="252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AOR: </w:t>
            </w:r>
            <w:r w:rsidR="003D0C20">
              <w:rPr>
                <w:rFonts w:ascii="Garamond" w:eastAsia="Times New Roman" w:hAnsi="Garamond" w:cstheme="minorHAnsi"/>
                <w:b/>
                <w:lang w:eastAsia="en-AU"/>
              </w:rPr>
              <w:fldChar w:fldCharType="begin">
                <w:ffData>
                  <w:name w:val="Text8"/>
                  <w:enabled/>
                  <w:calcOnExit w:val="0"/>
                  <w:textInput/>
                </w:ffData>
              </w:fldChar>
            </w:r>
            <w:bookmarkStart w:id="7" w:name="Text8"/>
            <w:r w:rsidR="003D0C20">
              <w:rPr>
                <w:rFonts w:ascii="Garamond" w:eastAsia="Times New Roman" w:hAnsi="Garamond" w:cstheme="minorHAnsi"/>
                <w:b/>
                <w:lang w:eastAsia="en-AU"/>
              </w:rPr>
              <w:instrText xml:space="preserve"> FORMTEXT </w:instrText>
            </w:r>
            <w:r w:rsidR="003D0C20">
              <w:rPr>
                <w:rFonts w:ascii="Garamond" w:eastAsia="Times New Roman" w:hAnsi="Garamond" w:cstheme="minorHAnsi"/>
                <w:b/>
                <w:lang w:eastAsia="en-AU"/>
              </w:rPr>
            </w:r>
            <w:r w:rsidR="003D0C20">
              <w:rPr>
                <w:rFonts w:ascii="Garamond" w:eastAsia="Times New Roman" w:hAnsi="Garamond" w:cstheme="minorHAnsi"/>
                <w:b/>
                <w:lang w:eastAsia="en-AU"/>
              </w:rPr>
              <w:fldChar w:fldCharType="separate"/>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lang w:eastAsia="en-AU"/>
              </w:rPr>
              <w:fldChar w:fldCharType="end"/>
            </w:r>
            <w:bookmarkEnd w:id="7"/>
          </w:p>
        </w:tc>
        <w:tc>
          <w:tcPr>
            <w:tcW w:w="2700" w:type="dxa"/>
          </w:tcPr>
          <w:p w:rsidR="00942B53" w:rsidRPr="00EB6C3B" w:rsidRDefault="00BB6FE6" w:rsidP="003D0C2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Chris Jones</w:t>
            </w:r>
          </w:p>
        </w:tc>
      </w:tr>
    </w:tbl>
    <w:p w:rsidR="00942B53" w:rsidRPr="00EB6C3B" w:rsidRDefault="00942B53" w:rsidP="00F5755E">
      <w:pPr>
        <w:jc w:val="center"/>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ACCOMPLISHMENTS</w:t>
      </w: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9245AE" w:rsidRPr="00EB6C3B" w:rsidTr="000145B1">
        <w:trPr>
          <w:trHeight w:val="10007"/>
        </w:trPr>
        <w:tc>
          <w:tcPr>
            <w:tcW w:w="10440" w:type="dxa"/>
          </w:tcPr>
          <w:p w:rsidR="009245AE" w:rsidRPr="00314229" w:rsidRDefault="009245AE" w:rsidP="005A6C99">
            <w:pPr>
              <w:pStyle w:val="ListParagraph"/>
              <w:ind w:left="1080" w:hanging="1080"/>
              <w:rPr>
                <w:rFonts w:cstheme="minorHAnsi"/>
                <w:b/>
                <w:sz w:val="24"/>
                <w:szCs w:val="24"/>
                <w:u w:val="single"/>
              </w:rPr>
            </w:pPr>
            <w:r w:rsidRPr="00314229">
              <w:rPr>
                <w:rFonts w:cstheme="minorHAnsi"/>
                <w:b/>
                <w:sz w:val="24"/>
                <w:szCs w:val="24"/>
                <w:u w:val="single"/>
              </w:rPr>
              <w:t>P</w:t>
            </w:r>
            <w:r w:rsidR="00EB6C3B" w:rsidRPr="00314229">
              <w:rPr>
                <w:rFonts w:cstheme="minorHAnsi"/>
                <w:b/>
                <w:sz w:val="24"/>
                <w:szCs w:val="24"/>
                <w:u w:val="single"/>
              </w:rPr>
              <w:t>lease describe your p</w:t>
            </w:r>
            <w:r w:rsidRPr="00314229">
              <w:rPr>
                <w:rFonts w:cstheme="minorHAnsi"/>
                <w:b/>
                <w:sz w:val="24"/>
                <w:szCs w:val="24"/>
                <w:u w:val="single"/>
              </w:rPr>
              <w:t xml:space="preserve">rogress relative to </w:t>
            </w:r>
            <w:r w:rsidR="00EB6C3B" w:rsidRPr="00314229">
              <w:rPr>
                <w:rFonts w:cstheme="minorHAnsi"/>
                <w:b/>
                <w:sz w:val="24"/>
                <w:szCs w:val="24"/>
                <w:u w:val="single"/>
              </w:rPr>
              <w:t xml:space="preserve">the </w:t>
            </w:r>
            <w:r w:rsidRPr="00314229">
              <w:rPr>
                <w:rFonts w:cstheme="minorHAnsi"/>
                <w:b/>
                <w:sz w:val="24"/>
                <w:szCs w:val="24"/>
                <w:u w:val="single"/>
              </w:rPr>
              <w:t>milestones scheduled during this reporting period</w:t>
            </w:r>
            <w:r w:rsidR="00235209" w:rsidRPr="00314229">
              <w:rPr>
                <w:rFonts w:cstheme="minorHAnsi"/>
                <w:b/>
                <w:sz w:val="24"/>
                <w:szCs w:val="24"/>
                <w:u w:val="single"/>
              </w:rPr>
              <w:t>.</w:t>
            </w:r>
          </w:p>
          <w:p w:rsidR="005A6C99" w:rsidRPr="00314229" w:rsidRDefault="005A6C99" w:rsidP="005A6C99">
            <w:pPr>
              <w:pStyle w:val="ListParagraph"/>
              <w:ind w:left="1080" w:hanging="1080"/>
              <w:rPr>
                <w:rFonts w:cstheme="minorHAnsi"/>
                <w:b/>
                <w:sz w:val="24"/>
                <w:szCs w:val="24"/>
                <w:u w:val="single"/>
              </w:rPr>
            </w:pPr>
          </w:p>
          <w:p w:rsidR="00235209" w:rsidRPr="00314229" w:rsidRDefault="000349DC" w:rsidP="00235209">
            <w:pPr>
              <w:rPr>
                <w:b/>
              </w:rPr>
            </w:pPr>
            <w:r w:rsidRPr="00314229">
              <w:rPr>
                <w:b/>
              </w:rPr>
              <w:t xml:space="preserve">Task A: </w:t>
            </w:r>
            <w:r w:rsidR="00881CA4" w:rsidRPr="00314229">
              <w:rPr>
                <w:b/>
              </w:rPr>
              <w:t xml:space="preserve">Enhancement of Existing Plans to Produce </w:t>
            </w:r>
            <w:r w:rsidR="000F1AAF" w:rsidRPr="00314229">
              <w:rPr>
                <w:b/>
              </w:rPr>
              <w:t>Implementation</w:t>
            </w:r>
            <w:r w:rsidR="00881CA4" w:rsidRPr="00314229">
              <w:rPr>
                <w:b/>
              </w:rPr>
              <w:t xml:space="preserve"> Plan for Regional Sustainable Development </w:t>
            </w:r>
          </w:p>
          <w:p w:rsidR="007305B6" w:rsidRPr="00314229" w:rsidRDefault="009708F8" w:rsidP="00235209">
            <w:pPr>
              <w:rPr>
                <w:b/>
              </w:rPr>
            </w:pPr>
            <w:r w:rsidRPr="00314229">
              <w:rPr>
                <w:b/>
              </w:rPr>
              <w:t xml:space="preserve"> </w:t>
            </w:r>
            <w:r w:rsidR="000349DC" w:rsidRPr="00314229">
              <w:rPr>
                <w:b/>
              </w:rPr>
              <w:t>&amp;</w:t>
            </w:r>
            <w:r w:rsidRPr="00314229">
              <w:rPr>
                <w:b/>
              </w:rPr>
              <w:t xml:space="preserve"> </w:t>
            </w:r>
            <w:r w:rsidR="000349DC" w:rsidRPr="00314229">
              <w:rPr>
                <w:b/>
              </w:rPr>
              <w:t xml:space="preserve">Task B: </w:t>
            </w:r>
            <w:r w:rsidR="00881CA4" w:rsidRPr="00314229">
              <w:rPr>
                <w:b/>
              </w:rPr>
              <w:t>Regional Public Engagement and Knowledge Sharing</w:t>
            </w:r>
          </w:p>
          <w:p w:rsidR="007305B6" w:rsidRPr="00314229" w:rsidRDefault="007305B6" w:rsidP="007305B6">
            <w:pPr>
              <w:spacing w:before="240" w:after="240"/>
              <w:rPr>
                <w:sz w:val="20"/>
                <w:szCs w:val="20"/>
              </w:rPr>
            </w:pPr>
            <w:r w:rsidRPr="00314229">
              <w:rPr>
                <w:sz w:val="20"/>
                <w:szCs w:val="20"/>
              </w:rPr>
              <w:t xml:space="preserve">The New York-Connecticut Sustainable Communities Consortium approved </w:t>
            </w:r>
            <w:r w:rsidR="006352E1" w:rsidRPr="00314229">
              <w:rPr>
                <w:sz w:val="20"/>
                <w:szCs w:val="20"/>
              </w:rPr>
              <w:t xml:space="preserve">its </w:t>
            </w:r>
            <w:r w:rsidRPr="00314229">
              <w:rPr>
                <w:sz w:val="20"/>
                <w:szCs w:val="20"/>
              </w:rPr>
              <w:t>Implementation Plan for Regional Sustainable Development on May 30, 2014. This project succeeded in bringing together the members of the Consortium, including the members of the MPOs in the Consortium, into a consensus on a series of recommendations that would improve regional planning for sustainability in the Consortium’s planning area. As the report states:</w:t>
            </w:r>
          </w:p>
          <w:p w:rsidR="007305B6" w:rsidRPr="00314229" w:rsidRDefault="007305B6" w:rsidP="00DA3EF1">
            <w:pPr>
              <w:pStyle w:val="NoSpacing"/>
              <w:rPr>
                <w:smallCaps/>
              </w:rPr>
            </w:pPr>
            <w:r w:rsidRPr="00314229">
              <w:rPr>
                <w:sz w:val="18"/>
              </w:rPr>
              <w:t>Three years of collaborative planning by the New York-Connecticut Sustainable Communities Consortium, a partnership of nine cities, two counties and six regional planning organizations, has resulted in an agenda to create more sustainable and equitable economic growth. The components of this agenda include plans to create more jobs and mixed income housing in specific downtown locations and low-income neighborhoods served by the MTA Metro-North Railroad and the MTA Long Island Rail Road. It also proposes improvements to the planning processes that often fail to adequately connect transportation, housing, economic development and environmental planning and policies. And it includes actions to promote fair access to good schools, job opportunities and healthy communities</w:t>
            </w:r>
            <w:r w:rsidRPr="00314229">
              <w:rPr>
                <w:sz w:val="20"/>
                <w:szCs w:val="20"/>
              </w:rPr>
              <w:t>.</w:t>
            </w:r>
          </w:p>
          <w:p w:rsidR="007305B6" w:rsidRPr="00314229" w:rsidRDefault="007305B6" w:rsidP="007305B6">
            <w:pPr>
              <w:spacing w:before="120" w:after="120"/>
              <w:rPr>
                <w:sz w:val="20"/>
                <w:szCs w:val="20"/>
              </w:rPr>
            </w:pPr>
            <w:r w:rsidRPr="00314229">
              <w:rPr>
                <w:sz w:val="20"/>
                <w:szCs w:val="20"/>
              </w:rPr>
              <w:t>This level of consensus on sustainability among a broad level of state, regional and local actors focused in various areas of planning in the two state planning areas is unprecedented.</w:t>
            </w:r>
          </w:p>
          <w:p w:rsidR="007305B6" w:rsidRPr="00314229" w:rsidRDefault="007305B6" w:rsidP="007305B6">
            <w:pPr>
              <w:spacing w:before="240" w:after="240"/>
              <w:rPr>
                <w:sz w:val="20"/>
                <w:szCs w:val="20"/>
              </w:rPr>
            </w:pPr>
            <w:r w:rsidRPr="00314229">
              <w:rPr>
                <w:sz w:val="20"/>
                <w:szCs w:val="20"/>
              </w:rPr>
              <w:t>The successful completion of the constituent “place-based” and area wide project</w:t>
            </w:r>
            <w:r w:rsidR="00DA3EF1" w:rsidRPr="00314229">
              <w:rPr>
                <w:sz w:val="20"/>
                <w:szCs w:val="20"/>
              </w:rPr>
              <w:t>s</w:t>
            </w:r>
            <w:r w:rsidRPr="00314229">
              <w:rPr>
                <w:sz w:val="20"/>
                <w:szCs w:val="20"/>
              </w:rPr>
              <w:t xml:space="preserve"> have influenced planning at both the local level and on a more area</w:t>
            </w:r>
            <w:r w:rsidR="006352E1" w:rsidRPr="00314229">
              <w:rPr>
                <w:sz w:val="20"/>
                <w:szCs w:val="20"/>
              </w:rPr>
              <w:t>-</w:t>
            </w:r>
            <w:r w:rsidRPr="00314229">
              <w:rPr>
                <w:sz w:val="20"/>
                <w:szCs w:val="20"/>
              </w:rPr>
              <w:t>wide basis for functional areas such as housing and climate resiliency. This influence is evidenced in local master planning and in larger scale functional areas such as New York City’s climate resiliency plan. The broader recommendations of the Implementation Plan have begun to influence the scope and scale of MPO regional planning, as well as similar planning in other functional areas such as community and economic development. Specifically, the Implementation Plan pursued three objectives:</w:t>
            </w:r>
          </w:p>
          <w:p w:rsidR="007305B6" w:rsidRPr="00314229" w:rsidRDefault="007305B6" w:rsidP="007305B6">
            <w:pPr>
              <w:pStyle w:val="Quote"/>
              <w:numPr>
                <w:ilvl w:val="0"/>
                <w:numId w:val="19"/>
              </w:numPr>
              <w:spacing w:before="120" w:after="120"/>
              <w:rPr>
                <w:rFonts w:asciiTheme="minorHAnsi" w:hAnsiTheme="minorHAnsi"/>
                <w:sz w:val="20"/>
                <w:szCs w:val="20"/>
              </w:rPr>
            </w:pPr>
            <w:r w:rsidRPr="00314229">
              <w:rPr>
                <w:rFonts w:asciiTheme="minorHAnsi" w:hAnsiTheme="minorHAnsi"/>
                <w:sz w:val="20"/>
                <w:szCs w:val="20"/>
              </w:rPr>
              <w:t>Integrating and enhancing existing regional and local planning to the greatest extent practical to fill in gaps and more closely align the Consortium members’ planning work with the six Livability Principles defined by the federal Partnership for Sustainable Communities to 1) provide more transportation choices, 2) promote equitable, affordable housing, 3) enhance economic competitiveness, 4) support existing communities, 5) coordinate policies and leverage investment, and 6) value communities and neighborhoods.</w:t>
            </w:r>
          </w:p>
          <w:p w:rsidR="007305B6" w:rsidRPr="00314229" w:rsidRDefault="007305B6" w:rsidP="007305B6">
            <w:pPr>
              <w:pStyle w:val="Quote"/>
              <w:numPr>
                <w:ilvl w:val="0"/>
                <w:numId w:val="19"/>
              </w:numPr>
              <w:spacing w:before="120" w:after="120"/>
              <w:rPr>
                <w:rFonts w:asciiTheme="minorHAnsi" w:hAnsiTheme="minorHAnsi"/>
                <w:sz w:val="20"/>
                <w:szCs w:val="20"/>
              </w:rPr>
            </w:pPr>
            <w:r w:rsidRPr="00314229">
              <w:rPr>
                <w:rFonts w:asciiTheme="minorHAnsi" w:hAnsiTheme="minorHAnsi"/>
                <w:sz w:val="20"/>
                <w:szCs w:val="20"/>
              </w:rPr>
              <w:t>Linking strategies on a regional scale to develop mixed-income housing, employment and infrastructure in locations connected by the two major commuter rail networks in the planning area – the MTA Metro-North Railroad and the MTA Long Island Rail Road.</w:t>
            </w:r>
          </w:p>
          <w:p w:rsidR="007305B6" w:rsidRPr="00314229" w:rsidRDefault="007305B6" w:rsidP="007305B6">
            <w:pPr>
              <w:pStyle w:val="Quote"/>
              <w:numPr>
                <w:ilvl w:val="0"/>
                <w:numId w:val="19"/>
              </w:numPr>
              <w:spacing w:before="120" w:after="120"/>
              <w:rPr>
                <w:rFonts w:asciiTheme="minorHAnsi" w:hAnsiTheme="minorHAnsi"/>
                <w:sz w:val="20"/>
                <w:szCs w:val="20"/>
              </w:rPr>
            </w:pPr>
            <w:r w:rsidRPr="00314229">
              <w:rPr>
                <w:rFonts w:asciiTheme="minorHAnsi" w:hAnsiTheme="minorHAnsi"/>
                <w:sz w:val="20"/>
                <w:szCs w:val="20"/>
              </w:rPr>
              <w:t>Supporting project planning at the local level that reflects the overall Consortium vision while engaging residents and stakeholders in developing implementation strategies.</w:t>
            </w:r>
          </w:p>
          <w:p w:rsidR="000F1AAF" w:rsidRPr="00314229" w:rsidRDefault="007305B6" w:rsidP="007305B6">
            <w:pPr>
              <w:spacing w:before="240" w:after="240"/>
              <w:rPr>
                <w:b/>
              </w:rPr>
            </w:pPr>
            <w:r w:rsidRPr="00314229">
              <w:rPr>
                <w:sz w:val="20"/>
                <w:szCs w:val="20"/>
              </w:rPr>
              <w:t xml:space="preserve">NYMTC and RPA staff provided the in-kind staff support for the project using federal transportation planning </w:t>
            </w:r>
            <w:r w:rsidR="006352E1" w:rsidRPr="00314229">
              <w:rPr>
                <w:sz w:val="20"/>
                <w:szCs w:val="20"/>
              </w:rPr>
              <w:t xml:space="preserve">and organization </w:t>
            </w:r>
            <w:r w:rsidRPr="00314229">
              <w:rPr>
                <w:sz w:val="20"/>
                <w:szCs w:val="20"/>
              </w:rPr>
              <w:t>funds. Other participants provided in-kind staff resources funded through county, local, and non-profit funding sources.</w:t>
            </w:r>
          </w:p>
          <w:p w:rsidR="009708F8" w:rsidRPr="00314229" w:rsidRDefault="000349DC" w:rsidP="00EA45D6">
            <w:pPr>
              <w:spacing w:after="120"/>
              <w:rPr>
                <w:b/>
              </w:rPr>
            </w:pPr>
            <w:r w:rsidRPr="00314229">
              <w:rPr>
                <w:b/>
              </w:rPr>
              <w:lastRenderedPageBreak/>
              <w:t xml:space="preserve">Task C: </w:t>
            </w:r>
            <w:r w:rsidR="00881CA4" w:rsidRPr="00314229">
              <w:rPr>
                <w:b/>
              </w:rPr>
              <w:t>Regional Housing Analysis and Incentive Fund</w:t>
            </w:r>
          </w:p>
          <w:p w:rsidR="001E10A4" w:rsidRPr="00314229" w:rsidRDefault="001E10A4" w:rsidP="001E10A4">
            <w:pPr>
              <w:rPr>
                <w:sz w:val="20"/>
              </w:rPr>
            </w:pPr>
            <w:r w:rsidRPr="00314229">
              <w:rPr>
                <w:sz w:val="20"/>
              </w:rPr>
              <w:t xml:space="preserve">The New York-Connecticut Sustainable Communities Consortium approved the Fair Housing Equity Assessment (FHEA) deliverable along with Implementation Plan for Regional Sustainable Development on May 30, 2014. The FHEA </w:t>
            </w:r>
            <w:r w:rsidR="006352E1" w:rsidRPr="00314229">
              <w:rPr>
                <w:sz w:val="20"/>
              </w:rPr>
              <w:t xml:space="preserve">process </w:t>
            </w:r>
            <w:r w:rsidRPr="00314229">
              <w:rPr>
                <w:sz w:val="20"/>
              </w:rPr>
              <w:t xml:space="preserve">provided the region with an opportunity to engage diverse stakeholders in the creation of a shared vision around housing opportunity, and develop accompanying strategies to address both persistent and emerging challenges. </w:t>
            </w:r>
          </w:p>
          <w:p w:rsidR="001E10A4" w:rsidRPr="00314229" w:rsidRDefault="001E10A4" w:rsidP="001E10A4">
            <w:pPr>
              <w:rPr>
                <w:sz w:val="20"/>
              </w:rPr>
            </w:pPr>
          </w:p>
          <w:p w:rsidR="001E10A4" w:rsidRPr="00314229" w:rsidRDefault="001E10A4" w:rsidP="001E10A4">
            <w:pPr>
              <w:rPr>
                <w:sz w:val="20"/>
              </w:rPr>
            </w:pPr>
            <w:r w:rsidRPr="00314229">
              <w:rPr>
                <w:sz w:val="20"/>
              </w:rPr>
              <w:t xml:space="preserve">The FHEA analyzed patterns of segregation and disparities in a complex region covering parts of two states. Data analysis produced both region-wide metrics and a neighborhood typology that permitted analysis and strategy development at multiple geographic scales. A key component of engagement and dialogue was an advisory committee of representatives from fair housing and community development organizations, housing developers, community foundations, planning organizations and housing coalitions convened by the consortium. The resulting regional conversation on fair and affordable housing was the first in memory for most participants and established both concepts and relationships that will extend past the immediate FHEA outcomes. Expert knowledge and perspective from the advisory committee helped to develop and refine strategies around fair housing. The result was a set of well-documented recommendations that promote investment and revitalization of racially and ethnically concentrated areas of poverty and strategies to improve mobility and access to areas of opportunity. </w:t>
            </w:r>
          </w:p>
          <w:p w:rsidR="001E10A4" w:rsidRPr="00314229" w:rsidRDefault="001E10A4" w:rsidP="001E10A4">
            <w:pPr>
              <w:rPr>
                <w:sz w:val="20"/>
              </w:rPr>
            </w:pPr>
          </w:p>
          <w:p w:rsidR="001E10A4" w:rsidRPr="00314229" w:rsidRDefault="001E10A4" w:rsidP="001E10A4">
            <w:pPr>
              <w:rPr>
                <w:sz w:val="20"/>
              </w:rPr>
            </w:pPr>
            <w:r w:rsidRPr="00314229">
              <w:rPr>
                <w:sz w:val="20"/>
              </w:rPr>
              <w:t>The FHEA process and advisory committee elevated fair housing to the forefront of the Sustainable Communities Initiative as a critical issue and catalyzed the formation of new relationships between housing coalitions. More than 30 different organizations offered to share their context and advise the Consortium Steering Committee for the opportunity potentially to shape the New York metropolitan region's fair housing policy.</w:t>
            </w:r>
          </w:p>
          <w:p w:rsidR="001E10A4" w:rsidRPr="00314229" w:rsidRDefault="001E10A4" w:rsidP="001E10A4">
            <w:pPr>
              <w:rPr>
                <w:sz w:val="20"/>
              </w:rPr>
            </w:pPr>
          </w:p>
          <w:p w:rsidR="001E10A4" w:rsidRPr="00314229" w:rsidRDefault="001E10A4" w:rsidP="001E10A4">
            <w:pPr>
              <w:rPr>
                <w:sz w:val="20"/>
              </w:rPr>
            </w:pPr>
            <w:r w:rsidRPr="00314229">
              <w:rPr>
                <w:sz w:val="20"/>
              </w:rPr>
              <w:t>Recommendation</w:t>
            </w:r>
            <w:r w:rsidR="006352E1" w:rsidRPr="00314229">
              <w:rPr>
                <w:sz w:val="20"/>
              </w:rPr>
              <w:t>s</w:t>
            </w:r>
            <w:r w:rsidRPr="00314229">
              <w:rPr>
                <w:sz w:val="20"/>
              </w:rPr>
              <w:t xml:space="preserve"> from the FHEA advisory committee were shared with the Consortium Steering Committee and Consortium Advisory Board before being released to the public for comment, in draft form, for 30 days. Upon the expiration of the public review period, a revised draft of the FHEA was approved by the Steering Committee on May 30</w:t>
            </w:r>
            <w:r w:rsidRPr="00314229">
              <w:rPr>
                <w:sz w:val="20"/>
                <w:vertAlign w:val="superscript"/>
              </w:rPr>
              <w:t>th</w:t>
            </w:r>
            <w:r w:rsidRPr="00314229">
              <w:rPr>
                <w:sz w:val="20"/>
              </w:rPr>
              <w:t xml:space="preserve"> 2014. Included in the recommendations were several commitments by consortium members to address the recommendations of the advisory committee, including inclusionary zoning in New York City, source of income discrimination in Suffolk County and multi-family zoning in Nassau County.</w:t>
            </w:r>
          </w:p>
          <w:p w:rsidR="001E10A4" w:rsidRPr="00314229" w:rsidRDefault="001E10A4" w:rsidP="001E10A4">
            <w:pPr>
              <w:rPr>
                <w:sz w:val="20"/>
              </w:rPr>
            </w:pPr>
          </w:p>
          <w:p w:rsidR="001E10A4" w:rsidRPr="00314229" w:rsidRDefault="001E10A4" w:rsidP="001E10A4">
            <w:pPr>
              <w:rPr>
                <w:sz w:val="20"/>
              </w:rPr>
            </w:pPr>
            <w:r w:rsidRPr="00314229">
              <w:rPr>
                <w:sz w:val="20"/>
              </w:rPr>
              <w:t>Ford Foundation provided $40, 800 in match funding to hire</w:t>
            </w:r>
            <w:r w:rsidR="00D52B4A" w:rsidRPr="00314229">
              <w:rPr>
                <w:sz w:val="20"/>
              </w:rPr>
              <w:t xml:space="preserve"> a</w:t>
            </w:r>
            <w:r w:rsidRPr="00314229">
              <w:rPr>
                <w:sz w:val="20"/>
              </w:rPr>
              <w:t xml:space="preserve"> consultant, Elisabeth Voigt, to coordinate activities pertaining to the FHEA advisory committee, assessing the region’s fair housing investigation and enforcement infrastructure, revising the draft FHEA and contributing fair housing expertise in all advisory committee meetings.</w:t>
            </w:r>
          </w:p>
          <w:p w:rsidR="00675B9D" w:rsidRPr="00314229" w:rsidRDefault="00675B9D" w:rsidP="00675B9D">
            <w:pPr>
              <w:rPr>
                <w:b/>
                <w:color w:val="7030A0"/>
              </w:rPr>
            </w:pPr>
          </w:p>
          <w:p w:rsidR="00881CA4" w:rsidRPr="00314229" w:rsidRDefault="008365CB" w:rsidP="00235209">
            <w:pPr>
              <w:rPr>
                <w:b/>
              </w:rPr>
            </w:pPr>
            <w:r w:rsidRPr="00314229">
              <w:rPr>
                <w:b/>
              </w:rPr>
              <w:t xml:space="preserve">Task D: </w:t>
            </w:r>
            <w:r w:rsidR="00881CA4" w:rsidRPr="00314229">
              <w:rPr>
                <w:b/>
              </w:rPr>
              <w:t>Long Island Housing Strategy</w:t>
            </w:r>
          </w:p>
          <w:p w:rsidR="00C23154" w:rsidRPr="00314229" w:rsidRDefault="00C23154" w:rsidP="00C23154">
            <w:pPr>
              <w:rPr>
                <w:sz w:val="20"/>
              </w:rPr>
            </w:pPr>
            <w:r w:rsidRPr="00314229">
              <w:rPr>
                <w:sz w:val="20"/>
              </w:rPr>
              <w:t>In its LI2035 Regional Comprehensive Sustainability Plan the Long Island Regional Planning Council (LIRPC) recognized that the shortage of rental and affordable homes in the region was a major detriment to the future sustainability in the region.  The LIRPC proposed to use HUD</w:t>
            </w:r>
            <w:r w:rsidR="00DA3EF1" w:rsidRPr="00314229">
              <w:rPr>
                <w:sz w:val="20"/>
              </w:rPr>
              <w:t xml:space="preserve"> Sustainable Communities </w:t>
            </w:r>
            <w:r w:rsidRPr="00314229">
              <w:rPr>
                <w:sz w:val="20"/>
              </w:rPr>
              <w:t>grant funds to develop a plan to combat this problem and ultimately developed “The Long Island Fair and Affordable Housing Report and Action Plan.”</w:t>
            </w:r>
          </w:p>
          <w:p w:rsidR="00EA45D6" w:rsidRPr="00314229" w:rsidRDefault="00EA45D6" w:rsidP="00C23154">
            <w:pPr>
              <w:rPr>
                <w:sz w:val="20"/>
              </w:rPr>
            </w:pPr>
          </w:p>
          <w:p w:rsidR="00C23154" w:rsidRPr="00314229" w:rsidRDefault="00C23154" w:rsidP="00673F02">
            <w:pPr>
              <w:spacing w:after="120"/>
              <w:rPr>
                <w:sz w:val="20"/>
              </w:rPr>
            </w:pPr>
            <w:r w:rsidRPr="00314229">
              <w:rPr>
                <w:sz w:val="20"/>
              </w:rPr>
              <w:t>Through collaboration with the Long Island Community Foundation’s Affordable Rental Housing Task Force (ARHTF), the LIRPC worked with many housing advocates in the region.  The LIRPC also convened municipal stakeholders to discuss the issues preventing the development of affordable and rental housing and offered tools to overcome the obstacles.  Through these meetings one constant obstacle was community opposition.  The one common solution was better education and community outreach.</w:t>
            </w:r>
          </w:p>
          <w:p w:rsidR="00C23154" w:rsidRPr="00314229" w:rsidRDefault="00C23154" w:rsidP="00673F02">
            <w:pPr>
              <w:spacing w:after="120"/>
              <w:rPr>
                <w:sz w:val="20"/>
              </w:rPr>
            </w:pPr>
            <w:r w:rsidRPr="00314229">
              <w:rPr>
                <w:sz w:val="20"/>
              </w:rPr>
              <w:t xml:space="preserve">The Long Island Fair and Affordable Housing Report and Action Plan will be used as a tool to educate and inform the region about the housing issues and will be a source of information for all.  The </w:t>
            </w:r>
            <w:r w:rsidR="00DA3EF1" w:rsidRPr="00314229">
              <w:rPr>
                <w:sz w:val="20"/>
              </w:rPr>
              <w:t>r</w:t>
            </w:r>
            <w:r w:rsidRPr="00314229">
              <w:rPr>
                <w:sz w:val="20"/>
              </w:rPr>
              <w:t xml:space="preserve">eport explains the rental and affordable housing “crisis” in the region, the causes and effects, and clearly demonstrates the need to develop more housing to accommodate the population.  Furthermore, it suggests some solutions, some simple and some more complicated, to address the problems </w:t>
            </w:r>
            <w:r w:rsidRPr="00314229">
              <w:rPr>
                <w:sz w:val="20"/>
              </w:rPr>
              <w:lastRenderedPageBreak/>
              <w:t>of creating a more diverse housing stock for the region.</w:t>
            </w:r>
          </w:p>
          <w:p w:rsidR="00C23154" w:rsidRPr="00314229" w:rsidRDefault="00DA3EF1" w:rsidP="00673F02">
            <w:pPr>
              <w:spacing w:after="120"/>
              <w:rPr>
                <w:sz w:val="20"/>
              </w:rPr>
            </w:pPr>
            <w:r w:rsidRPr="00314229">
              <w:rPr>
                <w:sz w:val="20"/>
              </w:rPr>
              <w:t>The p</w:t>
            </w:r>
            <w:r w:rsidR="00C23154" w:rsidRPr="00314229">
              <w:rPr>
                <w:sz w:val="20"/>
              </w:rPr>
              <w:t xml:space="preserve">lan itemizes action items that can be taken by the LIRPC or other housing advocates to address the housing crisis.  One action item that has gained traction is the employment of an individual “Affordable Housing Coordinator” for the region who could be an unbiased advocate for housing developments that fill the need discussed in the Plan.  Many of the region’s housing advocates have been working together to fund this position and will continue to work together to advise the actions taken by this coordinator.  </w:t>
            </w:r>
          </w:p>
          <w:p w:rsidR="00207499" w:rsidRPr="00314229" w:rsidRDefault="00DA3EF1" w:rsidP="00C23154">
            <w:pPr>
              <w:rPr>
                <w:sz w:val="20"/>
              </w:rPr>
            </w:pPr>
            <w:r w:rsidRPr="00314229">
              <w:rPr>
                <w:sz w:val="20"/>
              </w:rPr>
              <w:t>The p</w:t>
            </w:r>
            <w:r w:rsidR="00C23154" w:rsidRPr="00314229">
              <w:rPr>
                <w:sz w:val="20"/>
              </w:rPr>
              <w:t>lan was discussed at public meetings and is being used as a resource by many.  The information contained in the report will continue to inform decisions and actions.  This project</w:t>
            </w:r>
            <w:r w:rsidRPr="00314229">
              <w:rPr>
                <w:sz w:val="20"/>
              </w:rPr>
              <w:t>,</w:t>
            </w:r>
            <w:r w:rsidR="00C23154" w:rsidRPr="00314229">
              <w:rPr>
                <w:sz w:val="20"/>
              </w:rPr>
              <w:t xml:space="preserve"> in conjunction with the Housing Task Force, was instrumental in convening most of the housing developers and advocates in the region to collaborate and work together towards the common goal of creating a sustainable region with a robust and diverse housing stock.</w:t>
            </w:r>
          </w:p>
          <w:p w:rsidR="00C23154" w:rsidRPr="00314229" w:rsidRDefault="00C23154" w:rsidP="00235209">
            <w:pPr>
              <w:rPr>
                <w:b/>
              </w:rPr>
            </w:pPr>
          </w:p>
          <w:p w:rsidR="00881CA4" w:rsidRPr="00314229" w:rsidRDefault="008365CB" w:rsidP="00235209">
            <w:pPr>
              <w:rPr>
                <w:b/>
              </w:rPr>
            </w:pPr>
            <w:r w:rsidRPr="00314229">
              <w:rPr>
                <w:b/>
              </w:rPr>
              <w:t xml:space="preserve">Task E: </w:t>
            </w:r>
            <w:r w:rsidR="00881CA4" w:rsidRPr="00314229">
              <w:rPr>
                <w:b/>
              </w:rPr>
              <w:t>Building Climate Resilience</w:t>
            </w:r>
          </w:p>
          <w:p w:rsidR="001C0EF3" w:rsidRPr="00314229" w:rsidRDefault="001C0EF3" w:rsidP="001C0EF3">
            <w:pPr>
              <w:autoSpaceDE w:val="0"/>
              <w:autoSpaceDN w:val="0"/>
              <w:adjustRightInd w:val="0"/>
              <w:rPr>
                <w:sz w:val="20"/>
              </w:rPr>
            </w:pPr>
            <w:r w:rsidRPr="00314229">
              <w:rPr>
                <w:sz w:val="20"/>
              </w:rPr>
              <w:t xml:space="preserve">As part of the New York-Connecticut Sustainable Communities Initiative, the </w:t>
            </w:r>
            <w:r w:rsidR="00D52B4A" w:rsidRPr="00314229">
              <w:rPr>
                <w:sz w:val="20"/>
              </w:rPr>
              <w:t xml:space="preserve">New York City </w:t>
            </w:r>
            <w:r w:rsidRPr="00314229">
              <w:rPr>
                <w:sz w:val="20"/>
              </w:rPr>
              <w:t xml:space="preserve">Department of City Planning (DCP) undertook several projects that significantly advanced New York City’s efforts to build climate resilience, as well as influencing climate resilience planning activities throughout the region. These efforts complemented the other work of the Consortium by identifying resilience strategies and a framework for analysis specific for urban coastal communities. This work was driven by an understanding that </w:t>
            </w:r>
            <w:r w:rsidR="00D52B4A" w:rsidRPr="00314229">
              <w:rPr>
                <w:sz w:val="20"/>
              </w:rPr>
              <w:t xml:space="preserve">the </w:t>
            </w:r>
            <w:r w:rsidRPr="00314229">
              <w:rPr>
                <w:sz w:val="20"/>
              </w:rPr>
              <w:t>need to adapt to the unavoidable effects of climate change must be reconciled with other policy and community goals, such as reducing greenhouse gas emissions, providing for economic vitality, and increasing quality of life.</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i/>
                <w:sz w:val="20"/>
              </w:rPr>
            </w:pPr>
            <w:r w:rsidRPr="00314229">
              <w:rPr>
                <w:i/>
                <w:sz w:val="20"/>
              </w:rPr>
              <w:t>Summary of Work</w:t>
            </w:r>
            <w:r w:rsidR="00A64EEE" w:rsidRPr="00314229">
              <w:rPr>
                <w:i/>
                <w:sz w:val="20"/>
              </w:rPr>
              <w:t>:</w:t>
            </w:r>
          </w:p>
          <w:p w:rsidR="001C0EF3" w:rsidRPr="00314229" w:rsidRDefault="001C0EF3" w:rsidP="001C0EF3">
            <w:pPr>
              <w:autoSpaceDE w:val="0"/>
              <w:autoSpaceDN w:val="0"/>
              <w:adjustRightInd w:val="0"/>
              <w:rPr>
                <w:sz w:val="20"/>
              </w:rPr>
            </w:pPr>
            <w:r w:rsidRPr="00314229">
              <w:rPr>
                <w:sz w:val="20"/>
              </w:rPr>
              <w:t xml:space="preserve">DCP’s climate resilience work through the Consortium culminated in the release of two reports in June 2013. The </w:t>
            </w:r>
            <w:r w:rsidRPr="00314229">
              <w:rPr>
                <w:sz w:val="20"/>
                <w:u w:val="single"/>
              </w:rPr>
              <w:t>Design for Flood Risk</w:t>
            </w:r>
            <w:r w:rsidRPr="00314229">
              <w:rPr>
                <w:sz w:val="20"/>
              </w:rPr>
              <w:t xml:space="preserve"> report identifies key principles to guide the design of new buildings in flood zones to promote construction that can not only withstand coastal flood events, but also supports the vibrancy of the urban public realm. Recognizing the distinct character and needs of higher-density urban environments, the report provides recommendations for how regulations and individual project design can incorporate these principles. The </w:t>
            </w:r>
            <w:r w:rsidRPr="00314229">
              <w:rPr>
                <w:sz w:val="20"/>
                <w:u w:val="single"/>
              </w:rPr>
              <w:t>Urban Waterfront Adaptive Strategies</w:t>
            </w:r>
            <w:r w:rsidRPr="00314229">
              <w:rPr>
                <w:sz w:val="20"/>
              </w:rPr>
              <w:t xml:space="preserve"> report is a guide to identifying and evaluating strategies for increasing the resilience of waterfront neighborhoods to coastal storms and sea level rise. Following a systematic assessment of the coastal flood hazards that face New York City, the report identifies a range of potential adaptive strategies, at the scale of the building, neighborhood, and coastal reach.  The report also lays out a framework by which communities can narrow the list of strategies to consider for a given geography given the likely costs and benefits.  </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sz w:val="20"/>
              </w:rPr>
            </w:pPr>
            <w:r w:rsidRPr="00314229">
              <w:rPr>
                <w:sz w:val="20"/>
              </w:rPr>
              <w:t>In addition, the Consortium supported the work of the Mayor’s Office of Long Term Planning and Sustainability (OLTPS) to develop a risk-based tool for building climate resilience, including stakeholder outreach and identifying and evaluating design standards and codes for critical infrastructure.</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i/>
                <w:sz w:val="20"/>
              </w:rPr>
            </w:pPr>
            <w:r w:rsidRPr="00314229">
              <w:rPr>
                <w:i/>
                <w:sz w:val="20"/>
              </w:rPr>
              <w:t>Process and Outreach</w:t>
            </w:r>
            <w:r w:rsidR="00A64EEE" w:rsidRPr="00314229">
              <w:rPr>
                <w:i/>
                <w:sz w:val="20"/>
              </w:rPr>
              <w:t>:</w:t>
            </w:r>
          </w:p>
          <w:p w:rsidR="001C0EF3" w:rsidRPr="00314229" w:rsidRDefault="001C0EF3" w:rsidP="001C0EF3">
            <w:pPr>
              <w:autoSpaceDE w:val="0"/>
              <w:autoSpaceDN w:val="0"/>
              <w:adjustRightInd w:val="0"/>
              <w:rPr>
                <w:sz w:val="20"/>
              </w:rPr>
            </w:pPr>
            <w:r w:rsidRPr="00314229">
              <w:rPr>
                <w:sz w:val="20"/>
              </w:rPr>
              <w:t>Both projects relied on input from a wide range of technical experts and included opportunities for engagement with a diverse range of audiences, including city, state and federal agencies, planning and design professionals in the region, community and civic organizations, and members of the public. As part of the Design for Flood Risk study, DCP organized a series of architectural charrettes with the American Institute of Architects, New York Chapter to identify design strategies and develop the design principles. For Urban Waterfront Adaptive Strategies, an advisory group was convened to give regular input in the study and was composed of technical experts on climate scientists and coastal engineering, practitioners of waterfront planning and design, and representatives of community groups and the environmental justice community. In addition, DCP interviewed experts from the local region as well as from other parts of the country and world to inform both studies. DCP staff gave several public presentations during the course of the two studies, including sessions organized by the AIA-NY and the APA-NY.</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i/>
                <w:sz w:val="20"/>
              </w:rPr>
            </w:pPr>
            <w:r w:rsidRPr="00314229">
              <w:rPr>
                <w:i/>
                <w:sz w:val="20"/>
              </w:rPr>
              <w:t>Points of Influence</w:t>
            </w:r>
            <w:r w:rsidR="00A64EEE" w:rsidRPr="00314229">
              <w:rPr>
                <w:i/>
                <w:sz w:val="20"/>
              </w:rPr>
              <w:t>:</w:t>
            </w:r>
          </w:p>
          <w:p w:rsidR="001C0EF3" w:rsidRPr="00314229" w:rsidRDefault="001C0EF3" w:rsidP="001C0EF3">
            <w:pPr>
              <w:autoSpaceDE w:val="0"/>
              <w:autoSpaceDN w:val="0"/>
              <w:adjustRightInd w:val="0"/>
              <w:rPr>
                <w:sz w:val="20"/>
              </w:rPr>
            </w:pPr>
            <w:r w:rsidRPr="00314229">
              <w:rPr>
                <w:sz w:val="20"/>
              </w:rPr>
              <w:t xml:space="preserve">While both studies began prior to Hurricane Sandy, they played a large role in developing the City’s plans for recovery from Sandy and for building the city’s resilience to future storms. </w:t>
            </w:r>
            <w:r w:rsidRPr="00314229">
              <w:rPr>
                <w:sz w:val="20"/>
                <w:u w:val="single"/>
              </w:rPr>
              <w:t>A Stronger, More Resilient New York</w:t>
            </w:r>
            <w:r w:rsidRPr="00314229">
              <w:rPr>
                <w:sz w:val="20"/>
              </w:rPr>
              <w:t>, the report of Special Initiative for Rebuilding and Resiliency (SIRR), released in June 2013, drew on the work of Design for Flood Risk for the strategies specific to buildings and on Urban Waterfront Adaptive Strategies for coastal protection strategies. In addition, the work of OLTPS supported by the Consortium on critical infrastructure and developing a risk-based approach to building climate resiliency laid the foundation for SIRR’s risk analysis and infrastructure strategies.</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sz w:val="20"/>
              </w:rPr>
            </w:pPr>
            <w:r w:rsidRPr="00314229">
              <w:rPr>
                <w:sz w:val="20"/>
              </w:rPr>
              <w:t xml:space="preserve">As the City implements the 257 initiatives from the </w:t>
            </w:r>
            <w:r w:rsidRPr="00314229">
              <w:rPr>
                <w:sz w:val="20"/>
                <w:u w:val="single"/>
              </w:rPr>
              <w:t>A Stronger, More Resilient New York</w:t>
            </w:r>
            <w:r w:rsidRPr="00314229">
              <w:rPr>
                <w:sz w:val="20"/>
              </w:rPr>
              <w:t xml:space="preserve"> report, strategies identified through DCP’s research are becoming a reality. In October 2013 the Flood Resilience Zoning Text Amendment was adopted which enabled buildings to be constructed and retrofitted for flood resilience based on the updated flood maps issued by the Federal Emergency Management Agency, while mitigating the potential negative effects of elevated buildings on ground-floor activity and quality of the streetscape. And in June the City released an RFP to develop a feasibility study a tidal barrier and wetland restoration project for Coney Island Creek. </w:t>
            </w:r>
          </w:p>
          <w:p w:rsidR="001C0EF3" w:rsidRPr="00314229" w:rsidRDefault="001C0EF3" w:rsidP="001C0EF3">
            <w:pPr>
              <w:autoSpaceDE w:val="0"/>
              <w:autoSpaceDN w:val="0"/>
              <w:adjustRightInd w:val="0"/>
              <w:rPr>
                <w:sz w:val="20"/>
              </w:rPr>
            </w:pPr>
          </w:p>
          <w:p w:rsidR="001C0EF3" w:rsidRPr="00314229" w:rsidRDefault="001C0EF3" w:rsidP="001C0EF3">
            <w:pPr>
              <w:autoSpaceDE w:val="0"/>
              <w:autoSpaceDN w:val="0"/>
              <w:adjustRightInd w:val="0"/>
              <w:rPr>
                <w:sz w:val="20"/>
              </w:rPr>
            </w:pPr>
            <w:r w:rsidRPr="00314229">
              <w:rPr>
                <w:sz w:val="20"/>
              </w:rPr>
              <w:t xml:space="preserve">The influence of both projects can also be seen in subsequent projects within the region. Both reports have served as a valuable information resource on topics such as the implications of flood resistant construction standards on urban building types (see Design for Flood Risk) to the ability of living shorelines and breakwaters to address some types of flood hazards but not all (see Urban Waterfront Adaptive Strategies).  References and diagrams for both reports have been found in many subsequent projects, including the Army Corps of Engineers’ North Atlantic Comprehensive Study, several HUD Rebuild By Design projects, and some of the NY Rising community reconstruction plans. In addition, the </w:t>
            </w:r>
          </w:p>
          <w:p w:rsidR="001C0EF3" w:rsidRPr="00314229" w:rsidRDefault="001C0EF3" w:rsidP="001C0EF3">
            <w:pPr>
              <w:autoSpaceDE w:val="0"/>
              <w:autoSpaceDN w:val="0"/>
              <w:adjustRightInd w:val="0"/>
              <w:rPr>
                <w:sz w:val="20"/>
              </w:rPr>
            </w:pPr>
            <w:r w:rsidRPr="00314229">
              <w:rPr>
                <w:sz w:val="20"/>
              </w:rPr>
              <w:t xml:space="preserve">Regional Plan Association drew on research and analysis from Urban Waterfront Adaptive Strategies to develop a scenario planning toolkit which was used throughout the region. This work culminated in the release of </w:t>
            </w:r>
            <w:r w:rsidRPr="00314229">
              <w:rPr>
                <w:sz w:val="20"/>
                <w:u w:val="single"/>
              </w:rPr>
              <w:t>Building Coastal Resilience: Using Scenario Planning to Address Uncertainty and Change</w:t>
            </w:r>
            <w:r w:rsidR="00D52B4A" w:rsidRPr="00314229">
              <w:rPr>
                <w:sz w:val="20"/>
                <w:u w:val="single"/>
              </w:rPr>
              <w:t>,</w:t>
            </w:r>
            <w:r w:rsidRPr="00314229">
              <w:rPr>
                <w:sz w:val="20"/>
              </w:rPr>
              <w:t xml:space="preserve"> which was developed in coordination with DCP.  </w:t>
            </w:r>
          </w:p>
          <w:p w:rsidR="001C0EF3" w:rsidRPr="00314229" w:rsidRDefault="001C0EF3" w:rsidP="001C0EF3">
            <w:pPr>
              <w:autoSpaceDE w:val="0"/>
              <w:autoSpaceDN w:val="0"/>
              <w:adjustRightInd w:val="0"/>
              <w:rPr>
                <w:sz w:val="20"/>
              </w:rPr>
            </w:pPr>
          </w:p>
          <w:p w:rsidR="00B835E0" w:rsidRPr="00314229" w:rsidRDefault="001C0EF3" w:rsidP="001C0EF3">
            <w:pPr>
              <w:autoSpaceDE w:val="0"/>
              <w:autoSpaceDN w:val="0"/>
              <w:adjustRightInd w:val="0"/>
              <w:rPr>
                <w:sz w:val="20"/>
              </w:rPr>
            </w:pPr>
            <w:r w:rsidRPr="00314229">
              <w:rPr>
                <w:sz w:val="20"/>
              </w:rPr>
              <w:t xml:space="preserve">DCP is also drawing on the expertise developed and materials produced as part of these projects to work directly with local communities on the identifying locally specific strategies as part of the Resilient Neighborhoods initiative. Over the next two years, DCP, in partnership with affected communities, will develop neighborhood frameworks for Sandy recovery and long-term resilience. Studies will identify potential changes to zoning and land use, as well as other opportunities including infrastructure. These studies are already drawing on Design for Flood Risk and Urban Waterfront Adaptive Strategies for technical guidance on resiliency strategies and to develop a framework for analysis, this time at a neighborhood scale. </w:t>
            </w:r>
          </w:p>
          <w:p w:rsidR="001C0EF3" w:rsidRPr="00314229" w:rsidRDefault="001C0EF3" w:rsidP="001C0EF3">
            <w:pPr>
              <w:autoSpaceDE w:val="0"/>
              <w:autoSpaceDN w:val="0"/>
              <w:adjustRightInd w:val="0"/>
            </w:pPr>
          </w:p>
          <w:p w:rsidR="00881CA4" w:rsidRPr="00314229" w:rsidRDefault="00207499" w:rsidP="00235209">
            <w:pPr>
              <w:rPr>
                <w:b/>
              </w:rPr>
            </w:pPr>
            <w:r w:rsidRPr="00314229">
              <w:rPr>
                <w:b/>
              </w:rPr>
              <w:t xml:space="preserve">Task F: </w:t>
            </w:r>
            <w:r w:rsidR="00881CA4" w:rsidRPr="00314229">
              <w:rPr>
                <w:b/>
              </w:rPr>
              <w:t>Advance transit-oriented development around New Haven's Union Station</w:t>
            </w:r>
          </w:p>
          <w:p w:rsidR="00107850" w:rsidRPr="00314229" w:rsidRDefault="00107850" w:rsidP="00107850">
            <w:pPr>
              <w:rPr>
                <w:sz w:val="20"/>
              </w:rPr>
            </w:pPr>
            <w:r w:rsidRPr="00314229">
              <w:rPr>
                <w:sz w:val="20"/>
              </w:rPr>
              <w:t>The Union Station Transit Oriented Development plan brought together State and City officials with community leaders to develop a cohesive plan for governing Union Station, enhancing the station's retail, and guiding future development of adjacent surface parking lots. In particular, the planning process allowed us to developed consensus around the following objectives:</w:t>
            </w:r>
          </w:p>
          <w:p w:rsidR="00A64EEE" w:rsidRPr="00314229" w:rsidRDefault="00A64EEE" w:rsidP="00107850">
            <w:pPr>
              <w:rPr>
                <w:sz w:val="20"/>
              </w:rPr>
            </w:pPr>
          </w:p>
          <w:p w:rsidR="00107850" w:rsidRPr="00314229" w:rsidRDefault="00107850" w:rsidP="009A171A">
            <w:pPr>
              <w:pStyle w:val="ListParagraph"/>
              <w:numPr>
                <w:ilvl w:val="0"/>
                <w:numId w:val="21"/>
              </w:numPr>
              <w:ind w:left="702" w:hanging="342"/>
              <w:rPr>
                <w:i/>
                <w:sz w:val="20"/>
              </w:rPr>
            </w:pPr>
            <w:r w:rsidRPr="00314229">
              <w:rPr>
                <w:i/>
                <w:sz w:val="20"/>
              </w:rPr>
              <w:t>The Union Station Transportation Center should be developed and managed in a manner that supports regional and commuter rail transportation goals and recognizes its role as a major gateway for New Haven.</w:t>
            </w:r>
          </w:p>
          <w:p w:rsidR="00107850" w:rsidRPr="00314229" w:rsidRDefault="00107850" w:rsidP="009A171A">
            <w:pPr>
              <w:pStyle w:val="ListParagraph"/>
              <w:numPr>
                <w:ilvl w:val="0"/>
                <w:numId w:val="21"/>
              </w:numPr>
              <w:ind w:left="702" w:hanging="342"/>
              <w:rPr>
                <w:i/>
                <w:sz w:val="20"/>
              </w:rPr>
            </w:pPr>
            <w:r w:rsidRPr="00314229">
              <w:rPr>
                <w:i/>
                <w:sz w:val="20"/>
              </w:rPr>
              <w:t>The Union Station Transportation Center contributes to the vitality of surrounding neighborhood by effectively planning for support functions like parking, taxis, buses and deliveries and pursuing transit-oriented development that strengthens the Union Avenue’s appearance and pedestrian experience.</w:t>
            </w:r>
          </w:p>
          <w:p w:rsidR="00107850" w:rsidRPr="00314229" w:rsidRDefault="00107850" w:rsidP="009A171A">
            <w:pPr>
              <w:pStyle w:val="ListParagraph"/>
              <w:numPr>
                <w:ilvl w:val="0"/>
                <w:numId w:val="21"/>
              </w:numPr>
              <w:ind w:left="702" w:hanging="342"/>
              <w:rPr>
                <w:i/>
                <w:sz w:val="20"/>
              </w:rPr>
            </w:pPr>
            <w:r w:rsidRPr="00314229">
              <w:rPr>
                <w:i/>
                <w:sz w:val="20"/>
              </w:rPr>
              <w:t>Transit-oriented development should be promoted at or near the Transportation Center to support transit, neighborhood revitalization, and the region’s economic development.</w:t>
            </w:r>
          </w:p>
          <w:p w:rsidR="00107850" w:rsidRPr="00314229" w:rsidRDefault="00107850" w:rsidP="009A171A">
            <w:pPr>
              <w:pStyle w:val="ListParagraph"/>
              <w:numPr>
                <w:ilvl w:val="0"/>
                <w:numId w:val="21"/>
              </w:numPr>
              <w:ind w:left="702" w:hanging="342"/>
              <w:rPr>
                <w:i/>
                <w:sz w:val="20"/>
              </w:rPr>
            </w:pPr>
            <w:r w:rsidRPr="00314229">
              <w:rPr>
                <w:i/>
                <w:sz w:val="20"/>
              </w:rPr>
              <w:t>Near-term parking development is required to address increasing commuter demand and the waning supply of parking at auxiliary parking sites.</w:t>
            </w:r>
          </w:p>
          <w:p w:rsidR="00107850" w:rsidRPr="00314229" w:rsidRDefault="00107850" w:rsidP="009A171A">
            <w:pPr>
              <w:pStyle w:val="ListParagraph"/>
              <w:numPr>
                <w:ilvl w:val="0"/>
                <w:numId w:val="21"/>
              </w:numPr>
              <w:ind w:left="702" w:hanging="342"/>
              <w:rPr>
                <w:i/>
                <w:sz w:val="20"/>
              </w:rPr>
            </w:pPr>
            <w:r w:rsidRPr="00314229">
              <w:rPr>
                <w:i/>
                <w:sz w:val="20"/>
              </w:rPr>
              <w:t>A new management agreement is required to achieve these goals and allows the City “a seat at the table” to influence future transit center development and management decisions.</w:t>
            </w:r>
          </w:p>
          <w:p w:rsidR="00A64EEE" w:rsidRPr="00314229" w:rsidRDefault="00A64EEE" w:rsidP="00A64EEE">
            <w:pPr>
              <w:pStyle w:val="ListParagraph"/>
              <w:ind w:left="702"/>
              <w:rPr>
                <w:sz w:val="20"/>
              </w:rPr>
            </w:pPr>
          </w:p>
          <w:p w:rsidR="00107850" w:rsidRPr="00314229" w:rsidRDefault="00107850" w:rsidP="00107850">
            <w:pPr>
              <w:rPr>
                <w:sz w:val="20"/>
              </w:rPr>
            </w:pPr>
            <w:r w:rsidRPr="00314229">
              <w:rPr>
                <w:sz w:val="20"/>
              </w:rPr>
              <w:t>From these broad goals, the plan lays a clear implementation path that addresses governance at the station, retail remerchandising, and future development of adjacent surface parking lots. As such, the plan has been a strong guide for State and City policy by making a broad vision actionable with available resources.</w:t>
            </w:r>
          </w:p>
          <w:p w:rsidR="00A64EEE" w:rsidRPr="00314229" w:rsidRDefault="00A64EEE" w:rsidP="00107850">
            <w:pPr>
              <w:rPr>
                <w:sz w:val="20"/>
              </w:rPr>
            </w:pPr>
          </w:p>
          <w:p w:rsidR="00107850" w:rsidRPr="00314229" w:rsidRDefault="00107850" w:rsidP="00107850">
            <w:pPr>
              <w:rPr>
                <w:sz w:val="20"/>
              </w:rPr>
            </w:pPr>
            <w:r w:rsidRPr="00314229">
              <w:rPr>
                <w:sz w:val="20"/>
              </w:rPr>
              <w:t xml:space="preserve">Since December 2013 the City and State have been negotiating the future management structure for the Station based on the direction laid out in the plan. Once a new management structure is in place, the merchandising and redevelopment of the surface parking lots will begin. </w:t>
            </w:r>
          </w:p>
          <w:p w:rsidR="00A64EEE" w:rsidRPr="00314229" w:rsidRDefault="00A64EEE" w:rsidP="00107850">
            <w:pPr>
              <w:rPr>
                <w:sz w:val="20"/>
              </w:rPr>
            </w:pPr>
          </w:p>
          <w:p w:rsidR="000C7964" w:rsidRPr="00314229" w:rsidRDefault="00107850" w:rsidP="00107850">
            <w:pPr>
              <w:rPr>
                <w:sz w:val="20"/>
              </w:rPr>
            </w:pPr>
            <w:r w:rsidRPr="00314229">
              <w:rPr>
                <w:sz w:val="20"/>
              </w:rPr>
              <w:t>This project was closely related to the City's Hill-to-Downtown Planning Initiative, which addressed infrastructure development and zoning in the broader district around Union Station. Hill-to-Downtown was funded by a $951,307 HUD Challenge Grant as well as a State of Connecticut TOD Pilot Grant. $390,000. In addition to these resources, the City provided $47,532.99 in match.</w:t>
            </w:r>
          </w:p>
          <w:p w:rsidR="00107850" w:rsidRPr="00314229" w:rsidRDefault="00107850" w:rsidP="00107850">
            <w:pPr>
              <w:rPr>
                <w:color w:val="C0504D" w:themeColor="accent2"/>
                <w:sz w:val="20"/>
              </w:rPr>
            </w:pPr>
          </w:p>
          <w:p w:rsidR="00EE1C3D" w:rsidRPr="00314229" w:rsidRDefault="00EE1C3D" w:rsidP="000C7964">
            <w:pPr>
              <w:rPr>
                <w:b/>
              </w:rPr>
            </w:pPr>
            <w:r w:rsidRPr="00314229">
              <w:rPr>
                <w:b/>
              </w:rPr>
              <w:t xml:space="preserve">Task G: </w:t>
            </w:r>
            <w:r w:rsidRPr="00314229">
              <w:rPr>
                <w:rFonts w:eastAsia="Times New Roman" w:cs="Calibri"/>
                <w:b/>
              </w:rPr>
              <w:t>Advance Transit-Oriented Development Around Bridgeport's Barnum Train Station</w:t>
            </w:r>
          </w:p>
          <w:p w:rsidR="00675B9D" w:rsidRPr="00314229" w:rsidRDefault="00675B9D" w:rsidP="003143C0">
            <w:pPr>
              <w:rPr>
                <w:sz w:val="20"/>
              </w:rPr>
            </w:pPr>
            <w:r w:rsidRPr="00314229">
              <w:rPr>
                <w:sz w:val="20"/>
              </w:rPr>
              <w:t>HUD approved the deliverables for the Barnum Station Feasibility Study in September of 2013. Deliverables included an Executive Summary (in English and Spanish), ridership analysis, operational simulation, station area plans and market overview. Since initiation of this project, the GBRC was awarded a $400,000 EPA Brownfields Assessment grant and $900,000 EPA Revolving Loan Fund. A significant portion of these funds target the area around the proposed Barnum Station. In July of 2014, the State of Connecticut announced that $2.75 million would be bonded for the design of Barnum Station.</w:t>
            </w:r>
          </w:p>
          <w:p w:rsidR="008E7E28" w:rsidRPr="00314229" w:rsidRDefault="008E7E28" w:rsidP="008E7E28"/>
          <w:p w:rsidR="008E7E28" w:rsidRPr="00314229" w:rsidRDefault="008E7E28" w:rsidP="008E7E28">
            <w:pPr>
              <w:rPr>
                <w:i/>
                <w:sz w:val="20"/>
              </w:rPr>
            </w:pPr>
            <w:r w:rsidRPr="00314229">
              <w:rPr>
                <w:i/>
                <w:sz w:val="20"/>
              </w:rPr>
              <w:t>Brownfields: EPA Assessment &amp; RLF Awards</w:t>
            </w:r>
          </w:p>
          <w:p w:rsidR="008E7E28" w:rsidRPr="00314229" w:rsidRDefault="008E7E28" w:rsidP="008E7E28">
            <w:pPr>
              <w:rPr>
                <w:sz w:val="20"/>
              </w:rPr>
            </w:pPr>
            <w:r w:rsidRPr="00314229">
              <w:rPr>
                <w:sz w:val="20"/>
              </w:rPr>
              <w:t xml:space="preserve">The Barnum Station Feasibility Study identified brownfields as an impediment to fully realizing the development potential and revitalization of East Bridgeport. For redevelopment to succeed, remediation of brownfield sites and contaminated buildings needs to occur. In 2013, the GBRC was awarded a $400,000 EPA Assessment grant. Assessment activities will be complemented by a $900,000 Revolving Loan Fund (50% </w:t>
            </w:r>
            <w:proofErr w:type="spellStart"/>
            <w:r w:rsidRPr="00314229">
              <w:rPr>
                <w:sz w:val="20"/>
              </w:rPr>
              <w:t>subgrants</w:t>
            </w:r>
            <w:proofErr w:type="spellEnd"/>
            <w:r w:rsidRPr="00314229">
              <w:rPr>
                <w:sz w:val="20"/>
              </w:rPr>
              <w:t xml:space="preserve"> and 50% loans) that was awarded by the EPA in 2014. A significant portion of these funds will be targeted to East Bridgeport and the area around Barnum Station. The GBRC’s status as a recipient of a Partnership for Sustainable Communities grant was noted on both applications and may have strengthened the GBRC’s application in these two very competitive grant rounds.</w:t>
            </w:r>
          </w:p>
          <w:p w:rsidR="008E7E28" w:rsidRPr="00314229" w:rsidRDefault="008E7E28" w:rsidP="008E7E28">
            <w:pPr>
              <w:rPr>
                <w:sz w:val="20"/>
              </w:rPr>
            </w:pPr>
            <w:r w:rsidRPr="00314229">
              <w:rPr>
                <w:sz w:val="20"/>
              </w:rPr>
              <w:t>The GBRC’s Brownfields Program is closely aligned with the objectives of the Barnum Station Feasibility Study. The objectives include:</w:t>
            </w:r>
          </w:p>
          <w:p w:rsidR="00A64EEE" w:rsidRPr="00314229" w:rsidRDefault="00A64EEE" w:rsidP="008E7E28">
            <w:pPr>
              <w:rPr>
                <w:sz w:val="20"/>
              </w:rPr>
            </w:pPr>
          </w:p>
          <w:p w:rsidR="008E7E28" w:rsidRPr="00314229" w:rsidRDefault="008E7E28" w:rsidP="00DB37DC">
            <w:pPr>
              <w:pStyle w:val="ListParagraph"/>
              <w:numPr>
                <w:ilvl w:val="0"/>
                <w:numId w:val="17"/>
              </w:numPr>
              <w:rPr>
                <w:i/>
                <w:sz w:val="20"/>
              </w:rPr>
            </w:pPr>
            <w:r w:rsidRPr="00314229">
              <w:rPr>
                <w:i/>
                <w:sz w:val="20"/>
              </w:rPr>
              <w:t>Increase the availability of housing options in a transit-supportive location.</w:t>
            </w:r>
          </w:p>
          <w:p w:rsidR="008E7E28" w:rsidRPr="00314229" w:rsidRDefault="00DB37DC" w:rsidP="00DB37DC">
            <w:pPr>
              <w:pStyle w:val="ListParagraph"/>
              <w:numPr>
                <w:ilvl w:val="0"/>
                <w:numId w:val="17"/>
              </w:numPr>
              <w:rPr>
                <w:i/>
                <w:sz w:val="20"/>
              </w:rPr>
            </w:pPr>
            <w:r w:rsidRPr="00314229">
              <w:rPr>
                <w:i/>
                <w:sz w:val="20"/>
              </w:rPr>
              <w:t>I</w:t>
            </w:r>
            <w:r w:rsidR="008E7E28" w:rsidRPr="00314229">
              <w:rPr>
                <w:i/>
                <w:sz w:val="20"/>
              </w:rPr>
              <w:t>mprove transit and promote transit-oriented development (TOD) in East Bridgeport.</w:t>
            </w:r>
          </w:p>
          <w:p w:rsidR="008E7E28" w:rsidRPr="00314229" w:rsidRDefault="008E7E28" w:rsidP="00DB37DC">
            <w:pPr>
              <w:pStyle w:val="ListParagraph"/>
              <w:numPr>
                <w:ilvl w:val="0"/>
                <w:numId w:val="17"/>
              </w:numPr>
              <w:rPr>
                <w:i/>
                <w:sz w:val="20"/>
              </w:rPr>
            </w:pPr>
            <w:r w:rsidRPr="00314229">
              <w:rPr>
                <w:i/>
                <w:sz w:val="20"/>
              </w:rPr>
              <w:t>Improve access to jobs, education, and services.</w:t>
            </w:r>
          </w:p>
          <w:p w:rsidR="00A64EEE" w:rsidRPr="00314229" w:rsidRDefault="00A64EEE" w:rsidP="00A64EEE">
            <w:pPr>
              <w:pStyle w:val="ListParagraph"/>
              <w:rPr>
                <w:sz w:val="20"/>
              </w:rPr>
            </w:pPr>
          </w:p>
          <w:p w:rsidR="008E7E28" w:rsidRPr="00314229" w:rsidRDefault="008E7E28" w:rsidP="008E7E28">
            <w:pPr>
              <w:rPr>
                <w:sz w:val="20"/>
              </w:rPr>
            </w:pPr>
            <w:r w:rsidRPr="00314229">
              <w:rPr>
                <w:sz w:val="20"/>
              </w:rPr>
              <w:t xml:space="preserve">The performance period for the RLF grant will begin in October of 2014. However, progress has been made in the disbursement of Assessment funds in East Bridgeport. The City of Bridgeport and GBRC are in the process of selecting Qualified Environmental Professionals (Licensed Environmental Professionals in CT) for assessment activities for two sites in East Bridgeport: 252 Hallett Street and 774 East Main Street. Once the environmental conditions at these sites have been understood and remediated, a mix of residential and commercial development can occur. This development will be centered around Barnum Station, which will provide access to Metro North’s New Haven main line for residents of East Bridgeport. Reflecting the Livability Principle of “Support Existing Communities,” the revitalization of these neighborhoods will utilize existing public works and infrastructure investments while also promoting infill development and land recycling.  </w:t>
            </w:r>
          </w:p>
          <w:p w:rsidR="00A64EEE" w:rsidRPr="00314229" w:rsidRDefault="00A64EEE" w:rsidP="008E7E28">
            <w:pPr>
              <w:rPr>
                <w:sz w:val="20"/>
              </w:rPr>
            </w:pPr>
          </w:p>
          <w:p w:rsidR="008E7E28" w:rsidRPr="00314229" w:rsidRDefault="008E7E28" w:rsidP="008E7E28">
            <w:pPr>
              <w:rPr>
                <w:sz w:val="20"/>
              </w:rPr>
            </w:pPr>
            <w:r w:rsidRPr="00314229">
              <w:rPr>
                <w:sz w:val="20"/>
              </w:rPr>
              <w:t xml:space="preserve">The Hallett Street site is currently owned by the Housing Authority of the City of Bridgeport. This site was home to the former Father </w:t>
            </w:r>
            <w:proofErr w:type="spellStart"/>
            <w:r w:rsidRPr="00314229">
              <w:rPr>
                <w:sz w:val="20"/>
              </w:rPr>
              <w:t>Panik</w:t>
            </w:r>
            <w:proofErr w:type="spellEnd"/>
            <w:r w:rsidRPr="00314229">
              <w:rPr>
                <w:sz w:val="20"/>
              </w:rPr>
              <w:t xml:space="preserve"> Village, a public housing complex constructed to provide safe, efficient and affordable housing but which unfortunately fell on hard times and was demolished.  The East Main Street site is home to the former Bridgeport Brass Company. This company originally manufactured clock movement parts but grew to produce a wide variety of brass items including fasteners, lamps, lamp burners and trimmings, electric lamp sockets, eventually evolving into one of the world’s largest producers of brass and copper articles. </w:t>
            </w:r>
          </w:p>
          <w:p w:rsidR="008E7E28" w:rsidRPr="00314229" w:rsidRDefault="008E7E28" w:rsidP="008E7E28">
            <w:pPr>
              <w:rPr>
                <w:sz w:val="20"/>
              </w:rPr>
            </w:pPr>
          </w:p>
          <w:p w:rsidR="008E7E28" w:rsidRPr="00314229" w:rsidRDefault="008E7E28" w:rsidP="008E7E28">
            <w:pPr>
              <w:rPr>
                <w:sz w:val="20"/>
              </w:rPr>
            </w:pPr>
            <w:r w:rsidRPr="00314229">
              <w:rPr>
                <w:sz w:val="20"/>
              </w:rPr>
              <w:t>Further leveraging the original federal investment</w:t>
            </w:r>
            <w:r w:rsidR="00A64EEE" w:rsidRPr="00314229">
              <w:rPr>
                <w:sz w:val="20"/>
              </w:rPr>
              <w:t>,</w:t>
            </w:r>
            <w:r w:rsidRPr="00314229">
              <w:rPr>
                <w:sz w:val="20"/>
              </w:rPr>
              <w:t xml:space="preserve"> East Bridgeport plans for improvements to the neighborhood</w:t>
            </w:r>
            <w:r w:rsidR="0024234D" w:rsidRPr="00314229">
              <w:rPr>
                <w:sz w:val="20"/>
              </w:rPr>
              <w:t>’</w:t>
            </w:r>
            <w:r w:rsidRPr="00314229">
              <w:rPr>
                <w:sz w:val="20"/>
              </w:rPr>
              <w:t xml:space="preserve">s roadways, bus routes and bicycle/pedestrian networks. The Regional Transit Oriented Development Pilot Program is funded through a combination of FTA, FHWA and State of Connecticut grants and is made up a series of interrelated planning studies to determine the strategies and actions necessary to link local rail stations and reposition surrounding land into linear transit communities. </w:t>
            </w:r>
          </w:p>
          <w:p w:rsidR="00A64EEE" w:rsidRPr="00314229" w:rsidRDefault="00A64EEE" w:rsidP="008E7E28">
            <w:pPr>
              <w:rPr>
                <w:sz w:val="20"/>
              </w:rPr>
            </w:pPr>
          </w:p>
          <w:p w:rsidR="008E7E28" w:rsidRPr="00314229" w:rsidRDefault="008E7E28" w:rsidP="008E7E28">
            <w:pPr>
              <w:rPr>
                <w:sz w:val="20"/>
              </w:rPr>
            </w:pPr>
            <w:r w:rsidRPr="00314229">
              <w:rPr>
                <w:sz w:val="20"/>
              </w:rPr>
              <w:t xml:space="preserve">The total program cost is almost $900,000; over $300,000 is planned to support the tasks associated with the neighborhoods of East Bridgeport.  The East Bridgeport </w:t>
            </w:r>
            <w:proofErr w:type="spellStart"/>
            <w:r w:rsidRPr="00314229">
              <w:rPr>
                <w:sz w:val="20"/>
              </w:rPr>
              <w:t>Seaview</w:t>
            </w:r>
            <w:proofErr w:type="spellEnd"/>
            <w:r w:rsidRPr="00314229">
              <w:rPr>
                <w:sz w:val="20"/>
              </w:rPr>
              <w:t xml:space="preserve"> Avenue Development Corridor Alternative Transportation Assessment will assess travel and traffic patterns within the East Bridgeport-</w:t>
            </w:r>
            <w:proofErr w:type="spellStart"/>
            <w:r w:rsidRPr="00314229">
              <w:rPr>
                <w:sz w:val="20"/>
              </w:rPr>
              <w:t>Seaview</w:t>
            </w:r>
            <w:proofErr w:type="spellEnd"/>
            <w:r w:rsidRPr="00314229">
              <w:rPr>
                <w:sz w:val="20"/>
              </w:rPr>
              <w:t xml:space="preserve"> Avenue Development Corridor, evaluate alternative road improvement options to the relocation of </w:t>
            </w:r>
            <w:proofErr w:type="spellStart"/>
            <w:r w:rsidRPr="00314229">
              <w:rPr>
                <w:sz w:val="20"/>
              </w:rPr>
              <w:t>Seaview</w:t>
            </w:r>
            <w:proofErr w:type="spellEnd"/>
            <w:r w:rsidRPr="00314229">
              <w:rPr>
                <w:sz w:val="20"/>
              </w:rPr>
              <w:t xml:space="preserve"> Avenue project and investigate alternative modes to harness public transit and create livable communities. These tasks are closely aligned to the objectives of the Barnum Station Feasibility Study which include:</w:t>
            </w:r>
          </w:p>
          <w:p w:rsidR="00A64EEE" w:rsidRPr="00314229" w:rsidRDefault="00A64EEE" w:rsidP="008E7E28">
            <w:pPr>
              <w:rPr>
                <w:sz w:val="20"/>
              </w:rPr>
            </w:pPr>
          </w:p>
          <w:p w:rsidR="008E7E28" w:rsidRPr="00314229" w:rsidRDefault="008E7E28" w:rsidP="00DB37DC">
            <w:pPr>
              <w:pStyle w:val="ListParagraph"/>
              <w:numPr>
                <w:ilvl w:val="0"/>
                <w:numId w:val="18"/>
              </w:numPr>
              <w:rPr>
                <w:i/>
                <w:sz w:val="20"/>
              </w:rPr>
            </w:pPr>
            <w:r w:rsidRPr="00314229">
              <w:rPr>
                <w:i/>
                <w:sz w:val="20"/>
              </w:rPr>
              <w:t>Decrease per-capita vehicle-miles-travelled (VMT) and transportation-related emissions for the East Bridgeport Development corridor.</w:t>
            </w:r>
          </w:p>
          <w:p w:rsidR="008E7E28" w:rsidRPr="00314229" w:rsidRDefault="008E7E28" w:rsidP="00DB37DC">
            <w:pPr>
              <w:pStyle w:val="ListParagraph"/>
              <w:numPr>
                <w:ilvl w:val="0"/>
                <w:numId w:val="18"/>
              </w:numPr>
              <w:rPr>
                <w:i/>
                <w:sz w:val="20"/>
              </w:rPr>
            </w:pPr>
            <w:r w:rsidRPr="00314229">
              <w:rPr>
                <w:i/>
                <w:sz w:val="20"/>
              </w:rPr>
              <w:t>Increase participation and decision-making in developing a long-range vision for the area around Barnum Station.</w:t>
            </w:r>
          </w:p>
          <w:p w:rsidR="00A64EEE" w:rsidRPr="00314229" w:rsidRDefault="00A64EEE" w:rsidP="00A64EEE">
            <w:pPr>
              <w:pStyle w:val="ListParagraph"/>
              <w:rPr>
                <w:sz w:val="20"/>
              </w:rPr>
            </w:pPr>
          </w:p>
          <w:p w:rsidR="00675B9D" w:rsidRPr="00314229" w:rsidRDefault="008E7E28" w:rsidP="008E7E28">
            <w:pPr>
              <w:rPr>
                <w:sz w:val="20"/>
              </w:rPr>
            </w:pPr>
            <w:r w:rsidRPr="00314229">
              <w:rPr>
                <w:sz w:val="20"/>
              </w:rPr>
              <w:t>The East Bridgeport community has been actively engaged throughout this project. The project was presented to members of the East End, East Side and Mill Hill Neighborhood Revitalization Zones (NRZs) in April of 2014. Attendees to the meeting provided feedback on traffic conditions, congestion and needed pedestrian improvements in their neighborhoods. A subsequent public meeting concerning the overall project was held the next evening in Downtown Bridgeport. A follow up presentation to NRZ members is anticipated for September and another public meeting for the overall project is scheduled for November.</w:t>
            </w:r>
          </w:p>
          <w:p w:rsidR="00A64EEE" w:rsidRPr="00314229" w:rsidRDefault="00A64EEE" w:rsidP="008E7E28">
            <w:pPr>
              <w:rPr>
                <w:sz w:val="20"/>
              </w:rPr>
            </w:pPr>
          </w:p>
          <w:p w:rsidR="003143C0" w:rsidRPr="00314229" w:rsidRDefault="003143C0" w:rsidP="003143C0">
            <w:pPr>
              <w:rPr>
                <w:sz w:val="20"/>
              </w:rPr>
            </w:pPr>
            <w:r w:rsidRPr="00314229">
              <w:rPr>
                <w:sz w:val="20"/>
              </w:rPr>
              <w:t>This project has been completed. The deliverables for the Barnum Station Feasibility Study were approved by the NY-CT Sustainable Communities Consortium at the June 26th Steering Committee meeting. HUD approved the deliverables in September of 2013. A Spanish translation of the Executive Summary was completed in October. Once the translation was finalized and HUD approved the deliverables, the GBRC had the deliverables professionally printed and has been distributing them to the stakeholders involved in the project.</w:t>
            </w:r>
          </w:p>
          <w:p w:rsidR="00EE1C3D" w:rsidRPr="00314229" w:rsidRDefault="00EE1C3D" w:rsidP="00235209">
            <w:pPr>
              <w:rPr>
                <w:color w:val="C0504D" w:themeColor="accent2"/>
              </w:rPr>
            </w:pPr>
          </w:p>
          <w:p w:rsidR="009E6E98" w:rsidRPr="00314229" w:rsidRDefault="00EE1C3D" w:rsidP="00235209">
            <w:pPr>
              <w:rPr>
                <w:rFonts w:cs="Calibri"/>
              </w:rPr>
            </w:pPr>
            <w:r w:rsidRPr="00314229">
              <w:rPr>
                <w:rFonts w:cs="Calibri"/>
              </w:rPr>
              <w:t xml:space="preserve">Task H: </w:t>
            </w:r>
            <w:r w:rsidR="00881CA4" w:rsidRPr="00314229">
              <w:rPr>
                <w:rFonts w:cs="Calibri"/>
              </w:rPr>
              <w:t>Implement the TOD Master Plan for South Norwalk Railroad Station Neighborhood</w:t>
            </w:r>
          </w:p>
          <w:p w:rsidR="001F7172" w:rsidRPr="00314229" w:rsidRDefault="001F7172" w:rsidP="001F7172">
            <w:pPr>
              <w:rPr>
                <w:rFonts w:eastAsia="Times New Roman" w:cs="Times New Roman"/>
                <w:sz w:val="20"/>
                <w:szCs w:val="20"/>
              </w:rPr>
            </w:pPr>
          </w:p>
          <w:p w:rsidR="001F7172" w:rsidRPr="00314229" w:rsidRDefault="008B085B" w:rsidP="001F7172">
            <w:pPr>
              <w:spacing w:after="200" w:line="276" w:lineRule="auto"/>
              <w:rPr>
                <w:rFonts w:eastAsia="Times New Roman" w:cs="Times New Roman"/>
                <w:sz w:val="20"/>
                <w:szCs w:val="20"/>
              </w:rPr>
            </w:pPr>
            <w:r w:rsidRPr="00314229">
              <w:rPr>
                <w:rFonts w:eastAsia="Times New Roman" w:cs="Times New Roman"/>
                <w:b/>
                <w:i/>
                <w:sz w:val="20"/>
                <w:szCs w:val="20"/>
              </w:rPr>
              <w:t xml:space="preserve">The </w:t>
            </w:r>
            <w:r w:rsidR="001F7172" w:rsidRPr="00314229">
              <w:rPr>
                <w:rFonts w:eastAsia="Times New Roman" w:cs="Times New Roman"/>
                <w:b/>
                <w:i/>
                <w:sz w:val="20"/>
                <w:szCs w:val="20"/>
              </w:rPr>
              <w:t>South Norwalk Railroad Station Area TOD Master Plan</w:t>
            </w:r>
            <w:r w:rsidRPr="00314229">
              <w:rPr>
                <w:rFonts w:eastAsia="Times New Roman" w:cs="Times New Roman"/>
                <w:sz w:val="20"/>
                <w:szCs w:val="20"/>
              </w:rPr>
              <w:t xml:space="preserve"> was completed October 2011. It was funded by the City of Norwalk Capital Budget in the amount of $104,000. </w:t>
            </w:r>
            <w:r w:rsidR="001F7172" w:rsidRPr="00314229">
              <w:rPr>
                <w:rFonts w:eastAsia="Times New Roman" w:cs="Times New Roman"/>
                <w:sz w:val="20"/>
                <w:szCs w:val="20"/>
              </w:rPr>
              <w:t>Participation of a Steering Committee composed of community members, residents, property owners and business leaders including interviews with area stakeholders, a municipal coordination committee with City Public Works, Planning &amp; Zoning and Transit District staff. In sum, 31 community interviews, 7 Stakeholder Meetings,  4 Planning Coordination meetings and 4 community workshops</w:t>
            </w:r>
            <w:r w:rsidR="0024234D" w:rsidRPr="00314229">
              <w:rPr>
                <w:rFonts w:eastAsia="Times New Roman" w:cs="Times New Roman"/>
                <w:sz w:val="20"/>
                <w:szCs w:val="20"/>
              </w:rPr>
              <w:t xml:space="preserve"> were held</w:t>
            </w:r>
            <w:r w:rsidR="001F7172" w:rsidRPr="00314229">
              <w:rPr>
                <w:rFonts w:eastAsia="Times New Roman" w:cs="Times New Roman"/>
                <w:sz w:val="20"/>
                <w:szCs w:val="20"/>
              </w:rPr>
              <w:t xml:space="preserve">. </w:t>
            </w:r>
          </w:p>
          <w:p w:rsidR="001F7172" w:rsidRPr="00314229" w:rsidRDefault="001F7172" w:rsidP="001F7172">
            <w:pPr>
              <w:spacing w:after="200" w:line="276" w:lineRule="auto"/>
              <w:rPr>
                <w:rFonts w:eastAsia="Times New Roman" w:cs="Times New Roman"/>
                <w:sz w:val="20"/>
                <w:szCs w:val="20"/>
              </w:rPr>
            </w:pPr>
          </w:p>
          <w:p w:rsidR="008B085B" w:rsidRPr="00314229" w:rsidRDefault="005721B8" w:rsidP="001F7172">
            <w:pPr>
              <w:spacing w:after="200" w:line="276" w:lineRule="auto"/>
              <w:rPr>
                <w:rFonts w:eastAsia="Times New Roman" w:cs="Times New Roman"/>
                <w:sz w:val="20"/>
                <w:szCs w:val="20"/>
              </w:rPr>
            </w:pPr>
            <w:r w:rsidRPr="00314229">
              <w:rPr>
                <w:rFonts w:eastAsia="Times New Roman" w:cs="Times New Roman"/>
                <w:sz w:val="20"/>
                <w:szCs w:val="20"/>
              </w:rPr>
              <w:t>The series</w:t>
            </w:r>
            <w:r w:rsidR="001F7172" w:rsidRPr="00314229">
              <w:rPr>
                <w:rFonts w:eastAsia="Times New Roman" w:cs="Times New Roman"/>
                <w:sz w:val="20"/>
                <w:szCs w:val="20"/>
              </w:rPr>
              <w:t xml:space="preserve"> of four public workshops provided outreach in multi-lingual invitations to the Latino and Haitian community. In all, </w:t>
            </w:r>
            <w:r w:rsidR="0024234D" w:rsidRPr="00314229">
              <w:rPr>
                <w:rFonts w:eastAsia="Times New Roman" w:cs="Times New Roman"/>
                <w:sz w:val="20"/>
                <w:szCs w:val="20"/>
              </w:rPr>
              <w:t xml:space="preserve">there were </w:t>
            </w:r>
            <w:r w:rsidR="001F7172" w:rsidRPr="00314229">
              <w:rPr>
                <w:rFonts w:eastAsia="Times New Roman" w:cs="Times New Roman"/>
                <w:sz w:val="20"/>
                <w:szCs w:val="20"/>
              </w:rPr>
              <w:t>over 46 outreach events seeking community input.</w:t>
            </w:r>
            <w:r w:rsidR="008B085B" w:rsidRPr="00314229">
              <w:rPr>
                <w:rFonts w:eastAsia="Times New Roman" w:cs="Times New Roman"/>
                <w:sz w:val="20"/>
                <w:szCs w:val="20"/>
              </w:rPr>
              <w:t xml:space="preserve"> </w:t>
            </w:r>
            <w:r w:rsidR="001F7172" w:rsidRPr="00314229">
              <w:rPr>
                <w:rFonts w:eastAsia="Times New Roman" w:cs="Times New Roman"/>
                <w:sz w:val="20"/>
                <w:szCs w:val="20"/>
              </w:rPr>
              <w:t xml:space="preserve">The Master </w:t>
            </w:r>
            <w:r w:rsidR="00813EEB" w:rsidRPr="00314229">
              <w:rPr>
                <w:rFonts w:eastAsia="Times New Roman" w:cs="Times New Roman"/>
                <w:sz w:val="20"/>
                <w:szCs w:val="20"/>
              </w:rPr>
              <w:t>Plan seeks</w:t>
            </w:r>
            <w:r w:rsidR="001F7172" w:rsidRPr="00314229">
              <w:rPr>
                <w:rFonts w:eastAsia="Times New Roman" w:cs="Times New Roman"/>
                <w:sz w:val="20"/>
                <w:szCs w:val="20"/>
              </w:rPr>
              <w:t xml:space="preserve"> to unlock the next steps in economic revitalization and coordinated development of an underperforming neighborhood drawing new residents and businesses and underpinning an existing commercial and residential neighborhood. Among Key Immediate Recommended</w:t>
            </w:r>
            <w:r w:rsidR="008B085B" w:rsidRPr="00314229">
              <w:rPr>
                <w:rFonts w:eastAsia="Times New Roman" w:cs="Times New Roman"/>
                <w:sz w:val="20"/>
                <w:szCs w:val="20"/>
              </w:rPr>
              <w:t xml:space="preserve"> Next Steps:</w:t>
            </w:r>
          </w:p>
          <w:p w:rsidR="001F7172" w:rsidRPr="00314229" w:rsidRDefault="001F7172" w:rsidP="001F7172">
            <w:pPr>
              <w:spacing w:after="200" w:line="276" w:lineRule="auto"/>
              <w:rPr>
                <w:rFonts w:eastAsia="Times New Roman" w:cs="Times New Roman"/>
                <w:sz w:val="20"/>
                <w:szCs w:val="20"/>
              </w:rPr>
            </w:pPr>
            <w:r w:rsidRPr="00314229">
              <w:rPr>
                <w:rFonts w:eastAsia="Times New Roman" w:cs="Times New Roman"/>
                <w:sz w:val="20"/>
                <w:szCs w:val="20"/>
              </w:rPr>
              <w:t xml:space="preserve">  </w:t>
            </w:r>
          </w:p>
          <w:p w:rsidR="001F7172" w:rsidRPr="00314229" w:rsidRDefault="001F7172" w:rsidP="008B085B">
            <w:pPr>
              <w:pStyle w:val="ListParagraph"/>
              <w:numPr>
                <w:ilvl w:val="0"/>
                <w:numId w:val="23"/>
              </w:numPr>
              <w:spacing w:after="200" w:line="276" w:lineRule="auto"/>
              <w:ind w:left="792" w:hanging="450"/>
              <w:rPr>
                <w:rFonts w:eastAsia="Times New Roman" w:cs="Times New Roman"/>
                <w:i/>
                <w:sz w:val="20"/>
                <w:szCs w:val="20"/>
              </w:rPr>
            </w:pPr>
            <w:r w:rsidRPr="00314229">
              <w:rPr>
                <w:rFonts w:eastAsia="Times New Roman" w:cs="Times New Roman"/>
                <w:i/>
                <w:sz w:val="20"/>
                <w:szCs w:val="20"/>
              </w:rPr>
              <w:t>Provide improved pedestrian corridors connecting South Norwalk neighborhoods to each other and the South Norwalk Train Station targeting initial improvements to blocks adjacent to the South Norwalk Train Station</w:t>
            </w:r>
          </w:p>
          <w:p w:rsidR="001F7172" w:rsidRPr="00314229" w:rsidRDefault="001F7172" w:rsidP="008B085B">
            <w:pPr>
              <w:spacing w:after="200" w:line="276" w:lineRule="auto"/>
              <w:ind w:left="792" w:hanging="450"/>
              <w:rPr>
                <w:rFonts w:eastAsia="Times New Roman" w:cs="Times New Roman"/>
                <w:i/>
                <w:sz w:val="20"/>
                <w:szCs w:val="20"/>
              </w:rPr>
            </w:pPr>
          </w:p>
          <w:p w:rsidR="001F7172" w:rsidRPr="00314229" w:rsidRDefault="001F7172" w:rsidP="008B085B">
            <w:pPr>
              <w:pStyle w:val="ListParagraph"/>
              <w:numPr>
                <w:ilvl w:val="0"/>
                <w:numId w:val="23"/>
              </w:numPr>
              <w:spacing w:after="200" w:line="276" w:lineRule="auto"/>
              <w:ind w:left="792" w:hanging="450"/>
              <w:rPr>
                <w:rFonts w:eastAsia="Times New Roman" w:cs="Times New Roman"/>
                <w:i/>
                <w:sz w:val="20"/>
                <w:szCs w:val="20"/>
              </w:rPr>
            </w:pPr>
            <w:r w:rsidRPr="00314229">
              <w:rPr>
                <w:rFonts w:eastAsia="Times New Roman" w:cs="Times New Roman"/>
                <w:i/>
                <w:sz w:val="20"/>
                <w:szCs w:val="20"/>
              </w:rPr>
              <w:t xml:space="preserve">Plan &amp; implement the Choice Neighborhoods initiative to redevelop and reorganize Washington Village as mixed-income housing on multiple sites </w:t>
            </w:r>
          </w:p>
          <w:p w:rsidR="001F7172" w:rsidRPr="00314229" w:rsidRDefault="001F7172" w:rsidP="001F7172">
            <w:pPr>
              <w:spacing w:after="200" w:line="276" w:lineRule="auto"/>
              <w:ind w:left="720"/>
              <w:rPr>
                <w:rFonts w:eastAsia="Times New Roman" w:cs="Times New Roman"/>
                <w:sz w:val="20"/>
                <w:szCs w:val="20"/>
              </w:rPr>
            </w:pPr>
          </w:p>
          <w:p w:rsidR="001F7172" w:rsidRPr="00314229" w:rsidRDefault="001F7172" w:rsidP="001F7172">
            <w:pPr>
              <w:spacing w:after="200" w:line="276" w:lineRule="auto"/>
              <w:ind w:left="720"/>
              <w:rPr>
                <w:rFonts w:eastAsia="Times New Roman" w:cs="Times New Roman"/>
                <w:sz w:val="20"/>
                <w:szCs w:val="20"/>
              </w:rPr>
            </w:pPr>
          </w:p>
          <w:p w:rsidR="001F7172" w:rsidRPr="00314229" w:rsidRDefault="008B085B" w:rsidP="001F7172">
            <w:pPr>
              <w:spacing w:after="200" w:line="276" w:lineRule="auto"/>
              <w:rPr>
                <w:rFonts w:eastAsia="Times New Roman" w:cs="Times New Roman"/>
                <w:sz w:val="20"/>
                <w:szCs w:val="20"/>
              </w:rPr>
            </w:pPr>
            <w:r w:rsidRPr="00314229">
              <w:rPr>
                <w:rFonts w:eastAsia="Times New Roman" w:cs="Times New Roman"/>
                <w:sz w:val="20"/>
                <w:szCs w:val="20"/>
              </w:rPr>
              <w:t>The TOD Master Plan was used to leverage funding in the amount of $186, 117 from the HUD</w:t>
            </w:r>
            <w:r w:rsidR="001F7172" w:rsidRPr="00314229">
              <w:rPr>
                <w:rFonts w:eastAsia="Times New Roman" w:cs="Times New Roman"/>
                <w:sz w:val="20"/>
                <w:szCs w:val="20"/>
              </w:rPr>
              <w:t xml:space="preserve"> Sustainable Communities Initiative</w:t>
            </w:r>
            <w:r w:rsidRPr="00314229">
              <w:rPr>
                <w:rFonts w:eastAsia="Times New Roman" w:cs="Times New Roman"/>
                <w:sz w:val="20"/>
                <w:szCs w:val="20"/>
              </w:rPr>
              <w:t>. The scope of this project included the procurement of an</w:t>
            </w:r>
            <w:r w:rsidRPr="00314229">
              <w:rPr>
                <w:rFonts w:eastAsia="Times New Roman" w:cs="Times New Roman"/>
                <w:b/>
                <w:i/>
                <w:sz w:val="20"/>
                <w:szCs w:val="20"/>
              </w:rPr>
              <w:t xml:space="preserve"> </w:t>
            </w:r>
            <w:r w:rsidRPr="00314229">
              <w:rPr>
                <w:rFonts w:eastAsia="Times New Roman" w:cs="Times New Roman"/>
                <w:sz w:val="20"/>
                <w:szCs w:val="20"/>
              </w:rPr>
              <w:t>engineer to</w:t>
            </w:r>
            <w:r w:rsidR="001F7172" w:rsidRPr="00314229">
              <w:rPr>
                <w:rFonts w:eastAsia="Times New Roman" w:cs="Times New Roman"/>
                <w:sz w:val="20"/>
                <w:szCs w:val="20"/>
              </w:rPr>
              <w:t xml:space="preserve"> design pedes</w:t>
            </w:r>
            <w:r w:rsidRPr="00314229">
              <w:rPr>
                <w:rFonts w:eastAsia="Times New Roman" w:cs="Times New Roman"/>
                <w:sz w:val="20"/>
                <w:szCs w:val="20"/>
              </w:rPr>
              <w:t xml:space="preserve">trian improvements that </w:t>
            </w:r>
            <w:r w:rsidR="001F7172" w:rsidRPr="00314229">
              <w:rPr>
                <w:rFonts w:eastAsia="Times New Roman" w:cs="Times New Roman"/>
                <w:sz w:val="20"/>
                <w:szCs w:val="20"/>
              </w:rPr>
              <w:t>connect</w:t>
            </w:r>
            <w:r w:rsidRPr="00314229">
              <w:rPr>
                <w:rFonts w:eastAsia="Times New Roman" w:cs="Times New Roman"/>
                <w:sz w:val="20"/>
                <w:szCs w:val="20"/>
              </w:rPr>
              <w:t xml:space="preserve"> the G</w:t>
            </w:r>
            <w:r w:rsidR="001F7172" w:rsidRPr="00314229">
              <w:rPr>
                <w:rFonts w:eastAsia="Times New Roman" w:cs="Times New Roman"/>
                <w:sz w:val="20"/>
                <w:szCs w:val="20"/>
              </w:rPr>
              <w:t>olden Hill/Flax Hill Road neighborhood to the South Norwalk Railroad Station. Three design review meetings were held with neighborhood associations, residents, property owners and business representatives</w:t>
            </w:r>
            <w:r w:rsidRPr="00314229">
              <w:rPr>
                <w:rFonts w:eastAsia="Times New Roman" w:cs="Times New Roman"/>
                <w:sz w:val="20"/>
                <w:szCs w:val="20"/>
              </w:rPr>
              <w:t xml:space="preserve"> between 2012 and </w:t>
            </w:r>
            <w:r w:rsidR="001F7172" w:rsidRPr="00314229">
              <w:rPr>
                <w:rFonts w:eastAsia="Times New Roman" w:cs="Times New Roman"/>
                <w:sz w:val="20"/>
                <w:szCs w:val="20"/>
              </w:rPr>
              <w:t>20</w:t>
            </w:r>
            <w:r w:rsidRPr="00314229">
              <w:rPr>
                <w:rFonts w:eastAsia="Times New Roman" w:cs="Times New Roman"/>
                <w:sz w:val="20"/>
                <w:szCs w:val="20"/>
              </w:rPr>
              <w:t>14</w:t>
            </w:r>
            <w:r w:rsidR="001F7172" w:rsidRPr="00314229">
              <w:rPr>
                <w:rFonts w:eastAsia="Times New Roman" w:cs="Times New Roman"/>
                <w:sz w:val="20"/>
                <w:szCs w:val="20"/>
              </w:rPr>
              <w:t xml:space="preserve">. </w:t>
            </w:r>
            <w:r w:rsidRPr="00314229">
              <w:rPr>
                <w:rFonts w:eastAsia="Times New Roman" w:cs="Times New Roman"/>
                <w:sz w:val="20"/>
                <w:szCs w:val="20"/>
              </w:rPr>
              <w:t xml:space="preserve">Final </w:t>
            </w:r>
            <w:r w:rsidR="0024234D" w:rsidRPr="00314229">
              <w:rPr>
                <w:rFonts w:eastAsia="Times New Roman" w:cs="Times New Roman"/>
                <w:sz w:val="20"/>
                <w:szCs w:val="20"/>
              </w:rPr>
              <w:t>b</w:t>
            </w:r>
            <w:r w:rsidRPr="00314229">
              <w:rPr>
                <w:rFonts w:eastAsia="Times New Roman" w:cs="Times New Roman"/>
                <w:sz w:val="20"/>
                <w:szCs w:val="20"/>
              </w:rPr>
              <w:t>id documents were</w:t>
            </w:r>
            <w:r w:rsidR="001F7172" w:rsidRPr="00314229">
              <w:rPr>
                <w:rFonts w:eastAsia="Times New Roman" w:cs="Times New Roman"/>
                <w:sz w:val="20"/>
                <w:szCs w:val="20"/>
              </w:rPr>
              <w:t xml:space="preserve"> prepared for the Clay Street and Hamilton Street pedestrian access ways as well as pedestrian access from Flax Hill to north and pedestrian access to the South Norwalk Railroad Station to the south. The project is scheduled to be bid in the first quarter of 2015 for construction in first quarter of 2015.</w:t>
            </w:r>
          </w:p>
          <w:p w:rsidR="001F7172" w:rsidRPr="00314229" w:rsidRDefault="001F7172" w:rsidP="001F7172">
            <w:pPr>
              <w:spacing w:after="200" w:line="276" w:lineRule="auto"/>
              <w:rPr>
                <w:rFonts w:eastAsia="Times New Roman" w:cs="Times New Roman"/>
                <w:sz w:val="20"/>
                <w:szCs w:val="20"/>
              </w:rPr>
            </w:pPr>
          </w:p>
          <w:p w:rsidR="001F7172" w:rsidRPr="00314229" w:rsidRDefault="008B085B" w:rsidP="001F7172">
            <w:pPr>
              <w:spacing w:after="200" w:line="276" w:lineRule="auto"/>
              <w:rPr>
                <w:rFonts w:eastAsia="Times New Roman" w:cs="Times New Roman"/>
                <w:sz w:val="20"/>
                <w:szCs w:val="20"/>
              </w:rPr>
            </w:pPr>
            <w:r w:rsidRPr="00314229">
              <w:rPr>
                <w:rFonts w:eastAsia="Times New Roman" w:cs="Times New Roman"/>
                <w:b/>
                <w:i/>
                <w:sz w:val="20"/>
                <w:szCs w:val="20"/>
              </w:rPr>
              <w:t xml:space="preserve">The </w:t>
            </w:r>
            <w:r w:rsidR="001F7172" w:rsidRPr="00314229">
              <w:rPr>
                <w:rFonts w:eastAsia="Times New Roman" w:cs="Times New Roman"/>
                <w:b/>
                <w:i/>
                <w:sz w:val="20"/>
                <w:szCs w:val="20"/>
              </w:rPr>
              <w:t xml:space="preserve">State of Connecticut DOT </w:t>
            </w:r>
            <w:r w:rsidRPr="00314229">
              <w:rPr>
                <w:rFonts w:eastAsia="Times New Roman" w:cs="Times New Roman"/>
                <w:b/>
                <w:i/>
                <w:sz w:val="20"/>
                <w:szCs w:val="20"/>
              </w:rPr>
              <w:t xml:space="preserve">awarded the City of Norwalk a </w:t>
            </w:r>
            <w:r w:rsidR="001F7172" w:rsidRPr="00314229">
              <w:rPr>
                <w:rFonts w:eastAsia="Times New Roman" w:cs="Times New Roman"/>
                <w:b/>
                <w:i/>
                <w:sz w:val="20"/>
                <w:szCs w:val="20"/>
              </w:rPr>
              <w:t xml:space="preserve">TOD Pilot Program Grant </w:t>
            </w:r>
            <w:r w:rsidRPr="00314229">
              <w:rPr>
                <w:rFonts w:eastAsia="Times New Roman" w:cs="Times New Roman"/>
                <w:b/>
                <w:i/>
                <w:sz w:val="20"/>
                <w:szCs w:val="20"/>
              </w:rPr>
              <w:t xml:space="preserve">in the amount </w:t>
            </w:r>
            <w:r w:rsidR="0024234D" w:rsidRPr="00314229">
              <w:rPr>
                <w:rFonts w:eastAsia="Times New Roman" w:cs="Times New Roman"/>
                <w:b/>
                <w:i/>
                <w:sz w:val="20"/>
                <w:szCs w:val="20"/>
              </w:rPr>
              <w:t xml:space="preserve">of </w:t>
            </w:r>
            <w:r w:rsidR="001F7172" w:rsidRPr="00314229">
              <w:rPr>
                <w:rFonts w:eastAsia="Times New Roman" w:cs="Times New Roman"/>
                <w:b/>
                <w:i/>
                <w:sz w:val="20"/>
                <w:szCs w:val="20"/>
              </w:rPr>
              <w:t>$486,000</w:t>
            </w:r>
            <w:r w:rsidR="001F7172" w:rsidRPr="00314229">
              <w:rPr>
                <w:rFonts w:eastAsia="Times New Roman" w:cs="Times New Roman"/>
                <w:sz w:val="20"/>
                <w:szCs w:val="20"/>
              </w:rPr>
              <w:t xml:space="preserve"> for the design and engineering of “Complete Streets” in the South Norwalk Railroad Station TOD District.  Four design review meetings have been held with neighborhood residents, property owners, businesses, public utilities, fire and police to finalize street design and prioritize a project list. The following projects have been identified for final design and engineering of streetscape/pedestrian improvements: Washington Street, Dr. Martin Luther King Drive and the intersection of South Main and Monroe Streets. In addition there is a network of bicycle improvements for direct access from feeder streets to the South Norwalk Train Station.</w:t>
            </w:r>
          </w:p>
          <w:p w:rsidR="001F7172" w:rsidRPr="00314229" w:rsidRDefault="001F7172" w:rsidP="001F7172">
            <w:pPr>
              <w:spacing w:after="200" w:line="276" w:lineRule="auto"/>
              <w:rPr>
                <w:rFonts w:eastAsia="Times New Roman" w:cs="Times New Roman"/>
                <w:sz w:val="20"/>
                <w:szCs w:val="20"/>
              </w:rPr>
            </w:pPr>
          </w:p>
          <w:p w:rsidR="001F7172" w:rsidRPr="00314229" w:rsidRDefault="008B085B" w:rsidP="001F7172">
            <w:pPr>
              <w:spacing w:after="200" w:line="276" w:lineRule="auto"/>
              <w:rPr>
                <w:rFonts w:eastAsia="Times New Roman" w:cs="Times New Roman"/>
                <w:sz w:val="20"/>
                <w:szCs w:val="20"/>
              </w:rPr>
            </w:pPr>
            <w:r w:rsidRPr="00314229">
              <w:rPr>
                <w:rFonts w:eastAsia="Times New Roman" w:cs="Times New Roman"/>
                <w:sz w:val="20"/>
                <w:szCs w:val="20"/>
              </w:rPr>
              <w:t>Other sources of f</w:t>
            </w:r>
            <w:r w:rsidR="001F7172" w:rsidRPr="00314229">
              <w:rPr>
                <w:rFonts w:eastAsia="Times New Roman" w:cs="Times New Roman"/>
                <w:sz w:val="20"/>
                <w:szCs w:val="20"/>
              </w:rPr>
              <w:t>unding for the construction of these improvements has been identifi</w:t>
            </w:r>
            <w:r w:rsidRPr="00314229">
              <w:rPr>
                <w:rFonts w:eastAsia="Times New Roman" w:cs="Times New Roman"/>
                <w:sz w:val="20"/>
                <w:szCs w:val="20"/>
              </w:rPr>
              <w:t>ed from State and local sources:</w:t>
            </w:r>
          </w:p>
          <w:p w:rsidR="001F7172" w:rsidRPr="00314229" w:rsidRDefault="001F7172" w:rsidP="001F7172">
            <w:pPr>
              <w:spacing w:after="200" w:line="276" w:lineRule="auto"/>
              <w:rPr>
                <w:rFonts w:eastAsia="Times New Roman" w:cs="Times New Roman"/>
                <w:sz w:val="20"/>
                <w:szCs w:val="20"/>
              </w:rPr>
            </w:pPr>
          </w:p>
          <w:p w:rsidR="001F7172" w:rsidRPr="00314229" w:rsidRDefault="0024234D"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b/>
                <w:i/>
                <w:sz w:val="20"/>
                <w:szCs w:val="20"/>
              </w:rPr>
              <w:t xml:space="preserve">A </w:t>
            </w:r>
            <w:r w:rsidR="001F7172" w:rsidRPr="00314229">
              <w:rPr>
                <w:rFonts w:eastAsia="Times New Roman" w:cs="Times New Roman"/>
                <w:b/>
                <w:i/>
                <w:sz w:val="20"/>
                <w:szCs w:val="20"/>
              </w:rPr>
              <w:t xml:space="preserve">HUD Choice Neighborhoods Implementation grant </w:t>
            </w:r>
            <w:r w:rsidRPr="00314229">
              <w:rPr>
                <w:rFonts w:eastAsia="Times New Roman" w:cs="Times New Roman"/>
                <w:b/>
                <w:i/>
                <w:sz w:val="20"/>
                <w:szCs w:val="20"/>
              </w:rPr>
              <w:t xml:space="preserve">in the amount of </w:t>
            </w:r>
            <w:r w:rsidR="001F7172" w:rsidRPr="00314229">
              <w:rPr>
                <w:rFonts w:eastAsia="Times New Roman" w:cs="Times New Roman"/>
                <w:b/>
                <w:i/>
                <w:sz w:val="20"/>
                <w:szCs w:val="20"/>
              </w:rPr>
              <w:t>$30,000,000</w:t>
            </w:r>
            <w:r w:rsidR="001F7172" w:rsidRPr="00314229">
              <w:rPr>
                <w:rFonts w:eastAsia="Times New Roman" w:cs="Times New Roman"/>
                <w:sz w:val="20"/>
                <w:szCs w:val="20"/>
              </w:rPr>
              <w:t xml:space="preserve"> was awarded to the City of Norwalk June 2014 to complete the redevelopment and reorganization of the current 136 unit Washington Village site on Water Street and two additional sites on Day Streets </w:t>
            </w:r>
            <w:r w:rsidR="00996931" w:rsidRPr="00314229">
              <w:rPr>
                <w:rFonts w:eastAsia="Times New Roman" w:cs="Times New Roman"/>
                <w:sz w:val="20"/>
                <w:szCs w:val="20"/>
              </w:rPr>
              <w:t>for 272</w:t>
            </w:r>
            <w:r w:rsidR="001F7172" w:rsidRPr="00314229">
              <w:rPr>
                <w:rFonts w:eastAsia="Times New Roman" w:cs="Times New Roman"/>
                <w:sz w:val="20"/>
                <w:szCs w:val="20"/>
              </w:rPr>
              <w:t xml:space="preserve"> mixed-income residential units. In addition, the City is receiving DEP funding for area dry access out of the flood plain. These improvements are within the South Norwalk Railroad Station TOD District and will directly benefit from the District walkability.</w:t>
            </w:r>
          </w:p>
          <w:p w:rsidR="001F7172" w:rsidRPr="00314229" w:rsidRDefault="001F7172" w:rsidP="001F7172">
            <w:pPr>
              <w:spacing w:after="200" w:line="276" w:lineRule="auto"/>
              <w:rPr>
                <w:rFonts w:eastAsia="Times New Roman" w:cs="Times New Roman"/>
                <w:sz w:val="20"/>
                <w:szCs w:val="20"/>
              </w:rPr>
            </w:pPr>
          </w:p>
          <w:p w:rsidR="001F7172" w:rsidRPr="00314229" w:rsidRDefault="001F7172"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b/>
                <w:i/>
                <w:sz w:val="20"/>
                <w:szCs w:val="20"/>
              </w:rPr>
              <w:t xml:space="preserve">The City of Norwalk has been awarded a Federal EPA grant </w:t>
            </w:r>
            <w:r w:rsidR="0024234D" w:rsidRPr="00314229">
              <w:rPr>
                <w:rFonts w:eastAsia="Times New Roman" w:cs="Times New Roman"/>
                <w:b/>
                <w:i/>
                <w:sz w:val="20"/>
                <w:szCs w:val="20"/>
              </w:rPr>
              <w:t xml:space="preserve">in the amount of </w:t>
            </w:r>
            <w:r w:rsidRPr="00314229">
              <w:rPr>
                <w:rFonts w:eastAsia="Times New Roman" w:cs="Times New Roman"/>
                <w:b/>
                <w:i/>
                <w:sz w:val="20"/>
                <w:szCs w:val="20"/>
              </w:rPr>
              <w:t xml:space="preserve">$200,000 for Brownfields Assessment </w:t>
            </w:r>
            <w:r w:rsidRPr="00314229">
              <w:rPr>
                <w:rFonts w:eastAsia="Times New Roman" w:cs="Times New Roman"/>
                <w:sz w:val="20"/>
                <w:szCs w:val="20"/>
              </w:rPr>
              <w:t>to advance the clean-up of South Norwalk Railroad Station TOD District sites.</w:t>
            </w:r>
          </w:p>
          <w:p w:rsidR="001F7172" w:rsidRPr="00314229" w:rsidRDefault="001F7172" w:rsidP="001F7172">
            <w:pPr>
              <w:spacing w:after="200" w:line="276" w:lineRule="auto"/>
              <w:rPr>
                <w:rFonts w:eastAsia="Times New Roman" w:cs="Times New Roman"/>
                <w:sz w:val="20"/>
                <w:szCs w:val="20"/>
              </w:rPr>
            </w:pPr>
          </w:p>
          <w:p w:rsidR="001F7172" w:rsidRPr="00314229" w:rsidRDefault="001F7172"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b/>
                <w:i/>
                <w:sz w:val="20"/>
                <w:szCs w:val="20"/>
              </w:rPr>
              <w:t xml:space="preserve">The City of Norwalk has been awarded a CT DECD Brownfields Assessment grant </w:t>
            </w:r>
            <w:r w:rsidR="0024234D" w:rsidRPr="00314229">
              <w:rPr>
                <w:rFonts w:eastAsia="Times New Roman" w:cs="Times New Roman"/>
                <w:b/>
                <w:i/>
                <w:sz w:val="20"/>
                <w:szCs w:val="20"/>
              </w:rPr>
              <w:t xml:space="preserve">in the amount of </w:t>
            </w:r>
            <w:r w:rsidRPr="00314229">
              <w:rPr>
                <w:rFonts w:eastAsia="Times New Roman" w:cs="Times New Roman"/>
                <w:b/>
                <w:i/>
                <w:sz w:val="20"/>
                <w:szCs w:val="20"/>
              </w:rPr>
              <w:t>$200,000</w:t>
            </w:r>
            <w:r w:rsidRPr="00314229">
              <w:rPr>
                <w:rFonts w:eastAsia="Times New Roman" w:cs="Times New Roman"/>
                <w:sz w:val="20"/>
                <w:szCs w:val="20"/>
              </w:rPr>
              <w:t xml:space="preserve"> to advance the clean-up of South Norwalk Railroad Station TOD District sites. </w:t>
            </w:r>
          </w:p>
          <w:p w:rsidR="001F7172" w:rsidRPr="00314229" w:rsidRDefault="001F7172" w:rsidP="001F7172">
            <w:pPr>
              <w:spacing w:after="200" w:line="276" w:lineRule="auto"/>
              <w:rPr>
                <w:rFonts w:eastAsia="Times New Roman" w:cs="Times New Roman"/>
                <w:sz w:val="20"/>
                <w:szCs w:val="20"/>
              </w:rPr>
            </w:pPr>
          </w:p>
          <w:p w:rsidR="001F7172" w:rsidRPr="00314229" w:rsidRDefault="001F7172"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b/>
                <w:i/>
                <w:sz w:val="20"/>
                <w:szCs w:val="20"/>
              </w:rPr>
              <w:t>The Norwalk Redevelopment Agency currently has a $25,000 contract with The Cecil Group to fund the consolidation of a South Norwalk Railroad Station TOD District Redevelopment Plan</w:t>
            </w:r>
            <w:r w:rsidRPr="00314229">
              <w:rPr>
                <w:rFonts w:eastAsia="Times New Roman" w:cs="Times New Roman"/>
                <w:sz w:val="20"/>
                <w:szCs w:val="20"/>
              </w:rPr>
              <w:t xml:space="preserve"> and the drafting </w:t>
            </w:r>
            <w:r w:rsidR="008B085B" w:rsidRPr="00314229">
              <w:rPr>
                <w:rFonts w:eastAsia="Times New Roman" w:cs="Times New Roman"/>
                <w:sz w:val="20"/>
                <w:szCs w:val="20"/>
              </w:rPr>
              <w:t>of a</w:t>
            </w:r>
            <w:r w:rsidRPr="00314229">
              <w:rPr>
                <w:rFonts w:eastAsia="Times New Roman" w:cs="Times New Roman"/>
                <w:sz w:val="20"/>
                <w:szCs w:val="20"/>
              </w:rPr>
              <w:t xml:space="preserve"> </w:t>
            </w:r>
            <w:r w:rsidR="0024234D" w:rsidRPr="00314229">
              <w:rPr>
                <w:rFonts w:eastAsia="Times New Roman" w:cs="Times New Roman"/>
                <w:sz w:val="20"/>
                <w:szCs w:val="20"/>
              </w:rPr>
              <w:t>z</w:t>
            </w:r>
            <w:r w:rsidRPr="00314229">
              <w:rPr>
                <w:rFonts w:eastAsia="Times New Roman" w:cs="Times New Roman"/>
                <w:sz w:val="20"/>
                <w:szCs w:val="20"/>
              </w:rPr>
              <w:t>oning overlay for that District.</w:t>
            </w:r>
          </w:p>
          <w:p w:rsidR="001F7172" w:rsidRPr="00314229" w:rsidRDefault="001F7172" w:rsidP="001F7172">
            <w:pPr>
              <w:spacing w:after="200" w:line="276" w:lineRule="auto"/>
              <w:rPr>
                <w:rFonts w:eastAsia="Times New Roman" w:cs="Times New Roman"/>
                <w:sz w:val="20"/>
                <w:szCs w:val="20"/>
              </w:rPr>
            </w:pPr>
          </w:p>
          <w:p w:rsidR="001F7172" w:rsidRPr="00314229" w:rsidRDefault="001F7172"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b/>
                <w:i/>
                <w:sz w:val="20"/>
                <w:szCs w:val="20"/>
              </w:rPr>
              <w:t>The City of Norwalk has recently funded a total of $</w:t>
            </w:r>
            <w:r w:rsidR="008B085B" w:rsidRPr="00314229">
              <w:rPr>
                <w:rFonts w:eastAsia="Times New Roman" w:cs="Times New Roman"/>
                <w:b/>
                <w:i/>
                <w:sz w:val="20"/>
                <w:szCs w:val="20"/>
              </w:rPr>
              <w:t>258,000 in</w:t>
            </w:r>
            <w:r w:rsidRPr="00314229">
              <w:rPr>
                <w:rFonts w:eastAsia="Times New Roman" w:cs="Times New Roman"/>
                <w:b/>
                <w:i/>
                <w:sz w:val="20"/>
                <w:szCs w:val="20"/>
              </w:rPr>
              <w:t xml:space="preserve"> decorative public open space </w:t>
            </w:r>
            <w:r w:rsidR="008B085B" w:rsidRPr="00314229">
              <w:rPr>
                <w:rFonts w:eastAsia="Times New Roman" w:cs="Times New Roman"/>
                <w:b/>
                <w:i/>
                <w:sz w:val="20"/>
                <w:szCs w:val="20"/>
              </w:rPr>
              <w:t xml:space="preserve">lighting </w:t>
            </w:r>
            <w:r w:rsidR="008B085B" w:rsidRPr="00314229">
              <w:rPr>
                <w:rFonts w:eastAsia="Times New Roman" w:cs="Times New Roman"/>
                <w:sz w:val="20"/>
                <w:szCs w:val="20"/>
              </w:rPr>
              <w:t>at</w:t>
            </w:r>
            <w:r w:rsidRPr="00314229">
              <w:rPr>
                <w:rFonts w:eastAsia="Times New Roman" w:cs="Times New Roman"/>
                <w:sz w:val="20"/>
                <w:szCs w:val="20"/>
              </w:rPr>
              <w:t xml:space="preserve"> the Washington Street Plaza, the Washington Street Railroad Bridge and along the Norwalk </w:t>
            </w:r>
            <w:r w:rsidR="008B085B" w:rsidRPr="00314229">
              <w:rPr>
                <w:rFonts w:eastAsia="Times New Roman" w:cs="Times New Roman"/>
                <w:sz w:val="20"/>
                <w:szCs w:val="20"/>
              </w:rPr>
              <w:t>River at</w:t>
            </w:r>
            <w:r w:rsidRPr="00314229">
              <w:rPr>
                <w:rFonts w:eastAsia="Times New Roman" w:cs="Times New Roman"/>
                <w:sz w:val="20"/>
                <w:szCs w:val="20"/>
              </w:rPr>
              <w:t xml:space="preserve"> the Maritime Aquarium to improve the pedestrian experience in the South Norwalk Railroad Station TOD District. </w:t>
            </w:r>
          </w:p>
          <w:p w:rsidR="001F7172" w:rsidRPr="00314229" w:rsidRDefault="001F7172" w:rsidP="001F7172">
            <w:pPr>
              <w:spacing w:after="200" w:line="276" w:lineRule="auto"/>
              <w:rPr>
                <w:rFonts w:eastAsia="Times New Roman" w:cs="Times New Roman"/>
                <w:sz w:val="20"/>
                <w:szCs w:val="20"/>
              </w:rPr>
            </w:pPr>
          </w:p>
          <w:p w:rsidR="001F7172" w:rsidRPr="00314229" w:rsidRDefault="001F7172" w:rsidP="008B085B">
            <w:pPr>
              <w:pStyle w:val="ListParagraph"/>
              <w:numPr>
                <w:ilvl w:val="0"/>
                <w:numId w:val="24"/>
              </w:numPr>
              <w:spacing w:after="200" w:line="276" w:lineRule="auto"/>
              <w:rPr>
                <w:rFonts w:eastAsia="Times New Roman" w:cs="Times New Roman"/>
                <w:sz w:val="20"/>
                <w:szCs w:val="20"/>
              </w:rPr>
            </w:pPr>
            <w:r w:rsidRPr="00314229">
              <w:rPr>
                <w:rFonts w:eastAsia="Times New Roman" w:cs="Times New Roman"/>
                <w:sz w:val="20"/>
                <w:szCs w:val="20"/>
              </w:rPr>
              <w:t xml:space="preserve">The private sector has invested $58,000,000 in 174 residential units and 21,000 commercial </w:t>
            </w:r>
            <w:r w:rsidR="00716AB3" w:rsidRPr="00314229">
              <w:rPr>
                <w:rFonts w:eastAsia="Times New Roman" w:cs="Times New Roman"/>
                <w:sz w:val="20"/>
                <w:szCs w:val="20"/>
              </w:rPr>
              <w:t>spaces</w:t>
            </w:r>
            <w:r w:rsidRPr="00314229">
              <w:rPr>
                <w:rFonts w:eastAsia="Times New Roman" w:cs="Times New Roman"/>
                <w:sz w:val="20"/>
                <w:szCs w:val="20"/>
              </w:rPr>
              <w:t xml:space="preserve"> both recently completed or under construction for completion in 2015 within the South Norwalk Railroad Station TOD District. </w:t>
            </w:r>
          </w:p>
          <w:p w:rsidR="00D35B9B" w:rsidRPr="00314229" w:rsidRDefault="00D35B9B" w:rsidP="00235209">
            <w:pPr>
              <w:rPr>
                <w:rFonts w:cs="Calibri"/>
                <w:b/>
                <w:sz w:val="20"/>
                <w:szCs w:val="20"/>
              </w:rPr>
            </w:pPr>
          </w:p>
          <w:p w:rsidR="005161BD" w:rsidRPr="00314229" w:rsidRDefault="005161BD" w:rsidP="00235209">
            <w:pPr>
              <w:rPr>
                <w:rFonts w:cs="Calibri"/>
                <w:b/>
                <w:sz w:val="20"/>
                <w:szCs w:val="20"/>
              </w:rPr>
            </w:pPr>
          </w:p>
          <w:p w:rsidR="00881CA4" w:rsidRPr="00314229" w:rsidRDefault="00D26173" w:rsidP="00235209">
            <w:pPr>
              <w:rPr>
                <w:rFonts w:cs="Calibri"/>
                <w:b/>
              </w:rPr>
            </w:pPr>
            <w:r w:rsidRPr="00314229">
              <w:rPr>
                <w:rFonts w:cs="Calibri"/>
                <w:b/>
              </w:rPr>
              <w:t xml:space="preserve">Task I: </w:t>
            </w:r>
            <w:r w:rsidR="00881CA4" w:rsidRPr="00314229">
              <w:rPr>
                <w:rFonts w:cs="Calibri"/>
                <w:b/>
              </w:rPr>
              <w:t>Stamford East Side Train Station Feasibility Study</w:t>
            </w:r>
          </w:p>
          <w:p w:rsidR="00B27965" w:rsidRPr="00314229" w:rsidRDefault="00B27965" w:rsidP="00026235">
            <w:pPr>
              <w:rPr>
                <w:rFonts w:cs="Calibri"/>
                <w:sz w:val="20"/>
              </w:rPr>
            </w:pPr>
            <w:r w:rsidRPr="00314229">
              <w:rPr>
                <w:rFonts w:cs="Calibri"/>
                <w:sz w:val="20"/>
              </w:rPr>
              <w:t>On September 13, 2013, Task I: Stamford East Side Train Station Feasibility Study was submitted to the consortium steering committee for consideration and approval. The deliverable</w:t>
            </w:r>
            <w:r w:rsidR="00813EEB" w:rsidRPr="00314229">
              <w:rPr>
                <w:rFonts w:cs="Calibri"/>
                <w:sz w:val="20"/>
              </w:rPr>
              <w:t>,</w:t>
            </w:r>
            <w:r w:rsidRPr="00314229">
              <w:rPr>
                <w:rFonts w:cs="Calibri"/>
                <w:sz w:val="20"/>
              </w:rPr>
              <w:t xml:space="preserve"> completed by the South Western Regional Planning Agency</w:t>
            </w:r>
            <w:r w:rsidR="00813EEB" w:rsidRPr="00314229">
              <w:rPr>
                <w:rFonts w:cs="Calibri"/>
                <w:sz w:val="20"/>
              </w:rPr>
              <w:t>,</w:t>
            </w:r>
            <w:r w:rsidRPr="00314229">
              <w:rPr>
                <w:rFonts w:cs="Calibri"/>
                <w:sz w:val="20"/>
              </w:rPr>
              <w:t xml:space="preserve"> was approved unanimously. Minor, non-substantive changes were made to the final report at the request of the Connecticut DOT Commissioner after a meeting, in which the study’s findings were presented.</w:t>
            </w:r>
          </w:p>
          <w:p w:rsidR="00B27965" w:rsidRPr="00314229" w:rsidRDefault="00B27965" w:rsidP="00026235">
            <w:pPr>
              <w:rPr>
                <w:rFonts w:cs="Calibri"/>
                <w:sz w:val="20"/>
              </w:rPr>
            </w:pPr>
          </w:p>
          <w:p w:rsidR="00E23672" w:rsidRPr="00314229" w:rsidRDefault="00B27965" w:rsidP="00B27965">
            <w:pPr>
              <w:rPr>
                <w:rFonts w:cs="Calibri"/>
                <w:sz w:val="20"/>
              </w:rPr>
            </w:pPr>
            <w:r w:rsidRPr="00314229">
              <w:rPr>
                <w:rFonts w:cs="Calibri"/>
                <w:sz w:val="20"/>
              </w:rPr>
              <w:t xml:space="preserve">The study examined the possibility of a new transit node at the East Main Street, which will serve as a catalyst for growth in </w:t>
            </w:r>
            <w:r w:rsidR="00813EEB" w:rsidRPr="00314229">
              <w:rPr>
                <w:rFonts w:cs="Calibri"/>
                <w:sz w:val="20"/>
              </w:rPr>
              <w:t>the East Side neighborhood</w:t>
            </w:r>
            <w:r w:rsidRPr="00314229">
              <w:rPr>
                <w:rFonts w:cs="Calibri"/>
                <w:sz w:val="20"/>
              </w:rPr>
              <w:t xml:space="preserve">. The study proposed alternative, but viable development scenarios and recommended ways to generate enough community and political support needed for implementation. </w:t>
            </w:r>
          </w:p>
          <w:p w:rsidR="00E23672" w:rsidRPr="00314229" w:rsidRDefault="00E23672" w:rsidP="00B27965">
            <w:pPr>
              <w:rPr>
                <w:rFonts w:cs="Calibri"/>
                <w:sz w:val="20"/>
              </w:rPr>
            </w:pPr>
          </w:p>
          <w:p w:rsidR="00213FC1" w:rsidRPr="00314229" w:rsidRDefault="008B085B" w:rsidP="00235209">
            <w:pPr>
              <w:rPr>
                <w:rFonts w:cs="Calibri"/>
                <w:sz w:val="20"/>
              </w:rPr>
            </w:pPr>
            <w:r w:rsidRPr="00314229">
              <w:rPr>
                <w:rFonts w:cs="Calibri"/>
                <w:sz w:val="20"/>
              </w:rPr>
              <w:t xml:space="preserve">The </w:t>
            </w:r>
            <w:r w:rsidR="00B27965" w:rsidRPr="00314229">
              <w:rPr>
                <w:rFonts w:cs="Calibri"/>
                <w:sz w:val="20"/>
              </w:rPr>
              <w:t>construction of a branch line train station south of East Main Street be</w:t>
            </w:r>
            <w:r w:rsidRPr="00314229">
              <w:rPr>
                <w:rFonts w:cs="Calibri"/>
                <w:sz w:val="20"/>
              </w:rPr>
              <w:t>neath the I-95 superstructure was</w:t>
            </w:r>
            <w:r w:rsidR="00B27965" w:rsidRPr="00314229">
              <w:rPr>
                <w:rFonts w:cs="Calibri"/>
                <w:sz w:val="20"/>
              </w:rPr>
              <w:t xml:space="preserve"> the most feasible option to attain substantial, positive change for the East Main Street neighborhood.</w:t>
            </w:r>
            <w:r w:rsidR="00E23672" w:rsidRPr="00314229">
              <w:rPr>
                <w:rFonts w:cs="Calibri"/>
                <w:sz w:val="20"/>
              </w:rPr>
              <w:t xml:space="preserve"> In order to get to the stage of a new train station, </w:t>
            </w:r>
            <w:r w:rsidR="00813EEB" w:rsidRPr="00314229">
              <w:rPr>
                <w:rFonts w:cs="Calibri"/>
                <w:sz w:val="20"/>
              </w:rPr>
              <w:t>an</w:t>
            </w:r>
            <w:r w:rsidR="00E23672" w:rsidRPr="00314229">
              <w:rPr>
                <w:rFonts w:cs="Calibri"/>
                <w:sz w:val="20"/>
              </w:rPr>
              <w:t xml:space="preserve"> increment</w:t>
            </w:r>
            <w:r w:rsidR="00813EEB" w:rsidRPr="00314229">
              <w:rPr>
                <w:rFonts w:cs="Calibri"/>
                <w:sz w:val="20"/>
              </w:rPr>
              <w:t xml:space="preserve">al approach to development will </w:t>
            </w:r>
            <w:r w:rsidR="00E23672" w:rsidRPr="00314229">
              <w:rPr>
                <w:rFonts w:cs="Calibri"/>
                <w:sz w:val="20"/>
              </w:rPr>
              <w:t>lead to a successful transit oriented project.</w:t>
            </w:r>
            <w:r w:rsidRPr="00314229">
              <w:rPr>
                <w:rFonts w:cs="Calibri"/>
                <w:sz w:val="20"/>
              </w:rPr>
              <w:t xml:space="preserve"> </w:t>
            </w:r>
            <w:r w:rsidR="00E23672" w:rsidRPr="00314229">
              <w:rPr>
                <w:rFonts w:cs="Calibri"/>
                <w:sz w:val="20"/>
              </w:rPr>
              <w:t>The steps are broken down into 6 phases, in which the completion of th</w:t>
            </w:r>
            <w:r w:rsidR="00813EEB" w:rsidRPr="00314229">
              <w:rPr>
                <w:rFonts w:cs="Calibri"/>
                <w:sz w:val="20"/>
              </w:rPr>
              <w:t>e Stamford Urban Transit way come first — a</w:t>
            </w:r>
            <w:r w:rsidR="00E23672" w:rsidRPr="00314229">
              <w:rPr>
                <w:rFonts w:cs="Calibri"/>
                <w:sz w:val="20"/>
              </w:rPr>
              <w:t xml:space="preserve"> project undertaken by the City of Stamford with federal funding support to provide new, safe and accessible travel for automobiles, buses, and bicycles. </w:t>
            </w:r>
            <w:r w:rsidR="00813EEB" w:rsidRPr="00314229">
              <w:rPr>
                <w:rFonts w:cs="Calibri"/>
                <w:sz w:val="20"/>
              </w:rPr>
              <w:t>The second proposed phase is the construction of a new bus shuttle station to plant a flag for</w:t>
            </w:r>
            <w:r w:rsidR="00E23672" w:rsidRPr="00314229">
              <w:rPr>
                <w:rFonts w:cs="Calibri"/>
                <w:sz w:val="20"/>
              </w:rPr>
              <w:t xml:space="preserve"> rail station. The last</w:t>
            </w:r>
            <w:r w:rsidR="00813EEB" w:rsidRPr="00314229">
              <w:rPr>
                <w:rFonts w:cs="Calibri"/>
                <w:sz w:val="20"/>
              </w:rPr>
              <w:t xml:space="preserve"> proposed</w:t>
            </w:r>
            <w:r w:rsidR="00E23672" w:rsidRPr="00314229">
              <w:rPr>
                <w:rFonts w:cs="Calibri"/>
                <w:sz w:val="20"/>
              </w:rPr>
              <w:t xml:space="preserve"> phase is a full build-out</w:t>
            </w:r>
            <w:r w:rsidR="00813EEB" w:rsidRPr="00314229">
              <w:rPr>
                <w:rFonts w:cs="Calibri"/>
                <w:sz w:val="20"/>
              </w:rPr>
              <w:t xml:space="preserve"> of a rail station with </w:t>
            </w:r>
            <w:r w:rsidR="00E23672" w:rsidRPr="00314229">
              <w:rPr>
                <w:rFonts w:cs="Calibri"/>
                <w:sz w:val="20"/>
              </w:rPr>
              <w:t>mixed</w:t>
            </w:r>
            <w:r w:rsidR="00813EEB" w:rsidRPr="00314229">
              <w:rPr>
                <w:rFonts w:cs="Calibri"/>
                <w:sz w:val="20"/>
              </w:rPr>
              <w:t>-</w:t>
            </w:r>
            <w:r w:rsidR="00E23672" w:rsidRPr="00314229">
              <w:rPr>
                <w:rFonts w:cs="Calibri"/>
                <w:sz w:val="20"/>
              </w:rPr>
              <w:t xml:space="preserve">use development. </w:t>
            </w:r>
          </w:p>
          <w:p w:rsidR="00B27965" w:rsidRPr="00314229" w:rsidRDefault="00B27965" w:rsidP="00235209">
            <w:pPr>
              <w:rPr>
                <w:rFonts w:cs="Calibri"/>
              </w:rPr>
            </w:pPr>
          </w:p>
          <w:p w:rsidR="00881CA4" w:rsidRPr="00314229" w:rsidRDefault="00D26173" w:rsidP="00235209">
            <w:pPr>
              <w:rPr>
                <w:rFonts w:cs="Calibri"/>
                <w:b/>
              </w:rPr>
            </w:pPr>
            <w:r w:rsidRPr="00314229">
              <w:rPr>
                <w:rFonts w:cs="Calibri"/>
                <w:b/>
              </w:rPr>
              <w:t xml:space="preserve">Task J: </w:t>
            </w:r>
            <w:r w:rsidR="00881CA4" w:rsidRPr="00314229">
              <w:rPr>
                <w:rFonts w:cs="Calibri"/>
                <w:b/>
              </w:rPr>
              <w:t>TOD Smart Growth Initiative in New Rochelle</w:t>
            </w:r>
          </w:p>
          <w:p w:rsidR="00D1236E" w:rsidRPr="00314229" w:rsidRDefault="00D1236E" w:rsidP="00D1236E">
            <w:pPr>
              <w:rPr>
                <w:rFonts w:cs="Calibri"/>
                <w:sz w:val="20"/>
                <w:szCs w:val="20"/>
              </w:rPr>
            </w:pPr>
            <w:r w:rsidRPr="00314229">
              <w:rPr>
                <w:rFonts w:cs="Calibri"/>
                <w:sz w:val="20"/>
                <w:szCs w:val="20"/>
              </w:rPr>
              <w:t xml:space="preserve">The New Rochelle Smart Growth Initiative has informed studies and decisions relating to the future direction of New Rochelle’s downtown and TOD development.  Its findings will be reflected in the Comprehensive Plan currently being updated and is tied to New Rochelle’s Sustainability Plan. The purpose of the Smart Growth Initiative was to inform TOD decisions including improved connectivity to and from the existing transit center and providing options for development for the area radiating from the Transit Center to Montefiore Hospital (to the west), Downtown New Rochelle (to the south), North Avenue (to the north)and the Waterfront (southern New Rochelle).  The Transit Center is located at the original center of the city next to the Interstate-95 ‘canyon’ which currently bifurcates Downtown and North Avenue. </w:t>
            </w:r>
          </w:p>
          <w:p w:rsidR="00D1236E" w:rsidRPr="00314229" w:rsidRDefault="00D1236E" w:rsidP="00D1236E">
            <w:pPr>
              <w:rPr>
                <w:rFonts w:cs="Calibri"/>
                <w:sz w:val="20"/>
                <w:szCs w:val="20"/>
              </w:rPr>
            </w:pPr>
          </w:p>
          <w:p w:rsidR="00D1236E" w:rsidRPr="00314229" w:rsidRDefault="00D1236E" w:rsidP="00D1236E">
            <w:pPr>
              <w:rPr>
                <w:rFonts w:cs="Calibri"/>
                <w:sz w:val="20"/>
                <w:szCs w:val="20"/>
              </w:rPr>
            </w:pPr>
            <w:r w:rsidRPr="00314229">
              <w:rPr>
                <w:rFonts w:cs="Calibri"/>
                <w:sz w:val="20"/>
                <w:szCs w:val="20"/>
              </w:rPr>
              <w:t xml:space="preserve">Despite the North Avenue bridge there is currently a disconnect between Downtown and North Avenue with the Transit Center located on the divide rather than acting as a true hub for Transit Oriented Development and connectivity.  The Smart Growth Initiative has been instrumental in promoting enhanced pedestrian, cycling and public transportation connectivity and exciting development opportunities to turn this area back into the heart of the city.  </w:t>
            </w:r>
          </w:p>
          <w:p w:rsidR="00D1236E" w:rsidRPr="00314229" w:rsidRDefault="00D1236E" w:rsidP="00D1236E">
            <w:pPr>
              <w:rPr>
                <w:rFonts w:cs="Calibri"/>
                <w:sz w:val="20"/>
                <w:szCs w:val="20"/>
              </w:rPr>
            </w:pPr>
          </w:p>
          <w:p w:rsidR="00D1236E" w:rsidRPr="00314229" w:rsidRDefault="00D1236E" w:rsidP="00D1236E">
            <w:pPr>
              <w:rPr>
                <w:rFonts w:cs="Calibri"/>
                <w:sz w:val="20"/>
                <w:szCs w:val="20"/>
              </w:rPr>
            </w:pPr>
            <w:r w:rsidRPr="00314229">
              <w:rPr>
                <w:rFonts w:cs="Calibri"/>
                <w:sz w:val="20"/>
                <w:szCs w:val="20"/>
              </w:rPr>
              <w:t xml:space="preserve">The initiative has had numerous “points of influence” on planning and policy in New Rochelle.  The Smart Growth study was completed by CSS in December 2013.  In May 2014, the City of New Rochelle solicited a request for qualifications (RFQ) for Transit Oriented Development and further development in downtown, a measure which is featured in the Smart Growth Initiative and submitted responses are currently being evaluated. Secondly, the New York State Department of Transportation (NYSDOT) is partnering with the Public Works Department Traffic Division to improve pedestrian access and safety along key state roads in New Rochelle and a consultant has been contracted to conduct a micro simulation traffic study in the downtown area to consider a return to two way traffic along Main and Huguenot, currently State Highway 1 one way corridors. </w:t>
            </w:r>
          </w:p>
          <w:p w:rsidR="00D1236E" w:rsidRPr="00314229" w:rsidRDefault="00D1236E" w:rsidP="00D1236E">
            <w:pPr>
              <w:rPr>
                <w:rFonts w:cs="Calibri"/>
                <w:sz w:val="20"/>
                <w:szCs w:val="20"/>
              </w:rPr>
            </w:pPr>
          </w:p>
          <w:p w:rsidR="00D1236E" w:rsidRPr="00314229" w:rsidRDefault="00D1236E" w:rsidP="00D1236E">
            <w:pPr>
              <w:rPr>
                <w:rFonts w:cs="Calibri"/>
                <w:sz w:val="20"/>
                <w:szCs w:val="20"/>
              </w:rPr>
            </w:pPr>
            <w:r w:rsidRPr="00314229">
              <w:rPr>
                <w:rFonts w:cs="Calibri"/>
                <w:sz w:val="20"/>
                <w:szCs w:val="20"/>
              </w:rPr>
              <w:t>The purpose of the study is to examine options to improve vibrancy of the Downtown and support businesses along these corridors.  Third, an update to a North Avenue Study is in progress. North Avenue is a major thoroughfare in New Rochelle that traverses downtown and contains a retail corridor between Downtown and the Iona College district. This study focuses on potential zoning changes along North Avenue that will promote new development in-line with smart growth initiatives. Finally, the Local Waterfront Revitalization Program is being updated and will include strategies for linking the waterfront to the downtown, and informing the design of new development located at the Armory and the current city yard between Main Street and the Long Island Sound.</w:t>
            </w:r>
          </w:p>
          <w:p w:rsidR="00D1236E" w:rsidRPr="00314229" w:rsidRDefault="00D1236E" w:rsidP="00D1236E">
            <w:pPr>
              <w:rPr>
                <w:rFonts w:cs="Calibri"/>
                <w:sz w:val="20"/>
                <w:szCs w:val="20"/>
              </w:rPr>
            </w:pPr>
          </w:p>
          <w:p w:rsidR="00D1236E" w:rsidRPr="00314229" w:rsidRDefault="00D1236E" w:rsidP="00D1236E">
            <w:pPr>
              <w:rPr>
                <w:rFonts w:cs="Calibri"/>
                <w:sz w:val="20"/>
                <w:szCs w:val="20"/>
              </w:rPr>
            </w:pPr>
            <w:r w:rsidRPr="00314229">
              <w:rPr>
                <w:rFonts w:cs="Calibri"/>
                <w:sz w:val="20"/>
                <w:szCs w:val="20"/>
              </w:rPr>
              <w:t xml:space="preserve">New Rochelle, as part of a larger regional coalition, received $103,950 in Federal funds in 2011 for transit based planning and implementation.  </w:t>
            </w:r>
          </w:p>
          <w:p w:rsidR="00D1236E" w:rsidRPr="00314229" w:rsidRDefault="00D1236E" w:rsidP="00D1236E">
            <w:pPr>
              <w:rPr>
                <w:rFonts w:cs="Calibri"/>
                <w:sz w:val="20"/>
                <w:szCs w:val="20"/>
              </w:rPr>
            </w:pPr>
          </w:p>
          <w:p w:rsidR="009D3593" w:rsidRPr="00314229" w:rsidRDefault="00D1236E" w:rsidP="00D1236E">
            <w:pPr>
              <w:rPr>
                <w:rFonts w:cs="Calibri"/>
                <w:sz w:val="20"/>
                <w:szCs w:val="20"/>
              </w:rPr>
            </w:pPr>
            <w:r w:rsidRPr="00314229">
              <w:rPr>
                <w:rFonts w:cs="Calibri"/>
                <w:sz w:val="20"/>
                <w:szCs w:val="20"/>
              </w:rPr>
              <w:t xml:space="preserve">New Rochelle utilized the $103,950 for master planning around the transit center to help launch the overall comprehensive planning exercise.  The bulk of this, $101,450 was used for consultant services (CSS) and $2,500 was used to cover direct expenses relating to the Smart Growth Initiative study during the period of July 2011 to March 2014. Staff time assigned to the project totaled $24,596.03 over this same period. </w:t>
            </w:r>
          </w:p>
          <w:p w:rsidR="00810F87" w:rsidRPr="00314229" w:rsidRDefault="00810F87" w:rsidP="00D1236E">
            <w:pPr>
              <w:rPr>
                <w:rFonts w:cs="Calibri"/>
                <w:sz w:val="20"/>
                <w:szCs w:val="20"/>
              </w:rPr>
            </w:pPr>
          </w:p>
          <w:p w:rsidR="00810F87" w:rsidRPr="00314229" w:rsidRDefault="00810F87" w:rsidP="00D1236E">
            <w:pPr>
              <w:rPr>
                <w:rFonts w:cs="Calibri"/>
                <w:sz w:val="20"/>
                <w:szCs w:val="20"/>
              </w:rPr>
            </w:pPr>
          </w:p>
          <w:p w:rsidR="00881CA4" w:rsidRPr="00314229" w:rsidRDefault="00932945" w:rsidP="00235209">
            <w:pPr>
              <w:rPr>
                <w:rFonts w:cs="Calibri"/>
                <w:b/>
                <w:sz w:val="20"/>
                <w:szCs w:val="20"/>
              </w:rPr>
            </w:pPr>
            <w:r w:rsidRPr="00314229">
              <w:rPr>
                <w:rFonts w:cs="Calibri"/>
                <w:b/>
                <w:sz w:val="20"/>
                <w:szCs w:val="20"/>
              </w:rPr>
              <w:t xml:space="preserve">Task K. </w:t>
            </w:r>
            <w:r w:rsidR="00881CA4" w:rsidRPr="00314229">
              <w:rPr>
                <w:rFonts w:cs="Calibri"/>
                <w:b/>
                <w:sz w:val="20"/>
                <w:szCs w:val="20"/>
              </w:rPr>
              <w:t xml:space="preserve">Metro-North Station Study (Bronx) </w:t>
            </w:r>
          </w:p>
          <w:p w:rsidR="009C656E" w:rsidRPr="00314229" w:rsidRDefault="009C656E" w:rsidP="009C656E">
            <w:pPr>
              <w:spacing w:after="120"/>
              <w:rPr>
                <w:sz w:val="20"/>
              </w:rPr>
            </w:pPr>
            <w:r w:rsidRPr="00314229">
              <w:rPr>
                <w:sz w:val="20"/>
              </w:rPr>
              <w:t xml:space="preserve">The Sustainable Communities project in the Bronx:  </w:t>
            </w:r>
            <w:r w:rsidRPr="00314229">
              <w:rPr>
                <w:i/>
                <w:sz w:val="20"/>
              </w:rPr>
              <w:t xml:space="preserve">Leveraging Regional Rail for Access, Growth and Opportunity </w:t>
            </w:r>
            <w:r w:rsidRPr="00314229">
              <w:rPr>
                <w:sz w:val="20"/>
              </w:rPr>
              <w:t xml:space="preserve">was successful a number of fronts.  While the Bronx has 13 Metro-North stations, many have been traditionally underutilized and disconnected from centers of community activity and traditional subway and bus lines that are part of residents’ everyday commute.  </w:t>
            </w:r>
          </w:p>
          <w:p w:rsidR="009C656E" w:rsidRPr="00314229" w:rsidRDefault="009C656E" w:rsidP="009C656E">
            <w:pPr>
              <w:spacing w:after="120"/>
              <w:rPr>
                <w:sz w:val="20"/>
              </w:rPr>
            </w:pPr>
            <w:r w:rsidRPr="00314229">
              <w:rPr>
                <w:sz w:val="20"/>
              </w:rPr>
              <w:t>This project allowed DCP to look at these corridors as growth opportunities and reconnect them to the larger transit network.  This will provide residents with better access to job centers and more seamless commutes.  The reverse commute has been growing for a number of years and Metro-North now has the largest in the country which is centered in the Bronx.   This project was an opportunity to capitalize and build on that idea through improved access to these stations.</w:t>
            </w:r>
          </w:p>
          <w:p w:rsidR="009C656E" w:rsidRPr="00314229" w:rsidRDefault="009C656E" w:rsidP="009C656E">
            <w:pPr>
              <w:spacing w:after="120"/>
              <w:rPr>
                <w:sz w:val="20"/>
              </w:rPr>
            </w:pPr>
            <w:r w:rsidRPr="00314229">
              <w:rPr>
                <w:sz w:val="20"/>
              </w:rPr>
              <w:t xml:space="preserve">The station areas we looked at relate directly the city’s housing initiative to create additional affordable housing throughout the city.  The areas fell under three categories which will strengthen or create new mixed use development and affordable housing.  </w:t>
            </w:r>
          </w:p>
          <w:p w:rsidR="009C656E" w:rsidRPr="00314229" w:rsidRDefault="009C656E" w:rsidP="009C656E">
            <w:pPr>
              <w:pStyle w:val="ListParagraph"/>
              <w:numPr>
                <w:ilvl w:val="0"/>
                <w:numId w:val="25"/>
              </w:numPr>
              <w:spacing w:after="120"/>
              <w:ind w:left="720"/>
              <w:rPr>
                <w:sz w:val="20"/>
              </w:rPr>
            </w:pPr>
            <w:r w:rsidRPr="00314229">
              <w:rPr>
                <w:sz w:val="20"/>
              </w:rPr>
              <w:t>Areas where DCP actions such as a rezoning will create capacity for growth and new mixed used development</w:t>
            </w:r>
          </w:p>
          <w:p w:rsidR="009C656E" w:rsidRPr="00314229" w:rsidRDefault="009C656E" w:rsidP="009C656E">
            <w:pPr>
              <w:pStyle w:val="ListParagraph"/>
              <w:numPr>
                <w:ilvl w:val="0"/>
                <w:numId w:val="25"/>
              </w:numPr>
              <w:spacing w:after="120"/>
              <w:ind w:left="720"/>
              <w:rPr>
                <w:sz w:val="20"/>
              </w:rPr>
            </w:pPr>
            <w:r w:rsidRPr="00314229">
              <w:rPr>
                <w:sz w:val="20"/>
              </w:rPr>
              <w:t>Areas that have already been rezoned where there is existing capacity and this project provided an opportunity to identify improvements that can provide a catalyst to spur development</w:t>
            </w:r>
          </w:p>
          <w:p w:rsidR="009C656E" w:rsidRPr="00314229" w:rsidRDefault="009C656E" w:rsidP="009C656E">
            <w:pPr>
              <w:pStyle w:val="ListParagraph"/>
              <w:numPr>
                <w:ilvl w:val="0"/>
                <w:numId w:val="25"/>
              </w:numPr>
              <w:spacing w:after="120"/>
              <w:ind w:left="720"/>
              <w:rPr>
                <w:sz w:val="20"/>
              </w:rPr>
            </w:pPr>
            <w:r w:rsidRPr="00314229">
              <w:rPr>
                <w:sz w:val="20"/>
              </w:rPr>
              <w:t>Areas where there has been growth and there is either an opportunity to create a more complete community and strengthen new development or build on it through additional land use actions</w:t>
            </w:r>
          </w:p>
          <w:p w:rsidR="009C656E" w:rsidRPr="00314229" w:rsidRDefault="009C656E" w:rsidP="009C656E">
            <w:pPr>
              <w:spacing w:after="120"/>
              <w:rPr>
                <w:sz w:val="20"/>
              </w:rPr>
            </w:pPr>
            <w:r w:rsidRPr="00314229">
              <w:rPr>
                <w:sz w:val="20"/>
              </w:rPr>
              <w:t>The project was unique in that many of our recommendations are outside the zoning and land use where DCP has control.  We were able to build relationships with interagency partners and identify short – term recommendations which have already begun and long-term opportunities that can be included in the capital planning process.</w:t>
            </w:r>
          </w:p>
          <w:p w:rsidR="009C656E" w:rsidRPr="00314229" w:rsidRDefault="009C656E" w:rsidP="009C656E">
            <w:pPr>
              <w:spacing w:after="120"/>
              <w:rPr>
                <w:sz w:val="20"/>
              </w:rPr>
            </w:pPr>
            <w:r w:rsidRPr="00314229">
              <w:rPr>
                <w:sz w:val="20"/>
              </w:rPr>
              <w:t>The project opened up such a large area of the Bronx and through that DCP was able to build strong partnerships and community consensus with a wide range of partners.  These relationships will be crucial in the continued implementation of the recommendations.</w:t>
            </w:r>
          </w:p>
          <w:p w:rsidR="009C656E" w:rsidRPr="00314229" w:rsidRDefault="009C656E" w:rsidP="009C656E">
            <w:pPr>
              <w:spacing w:after="120"/>
              <w:rPr>
                <w:sz w:val="20"/>
              </w:rPr>
            </w:pPr>
            <w:r w:rsidRPr="00314229">
              <w:rPr>
                <w:sz w:val="20"/>
              </w:rPr>
              <w:t>Additionally the project created a framework for long term planning in a large section of the Bronx. As indicated DCP worked closely with agency partners including City Parks, DOT, NYCHA, Housing Preservation and Development, EDC, Metro-North Rail/MTA and elected officials.  Through this stronger relationships were built and recommendations became part of long term plans across agencies.  Specifically, Metro-North railroad whose presence in the Bronx was limited is now more focused on the area.  We continue to work closely supporting them in the plan to bring new rail service to the Bronx.</w:t>
            </w:r>
          </w:p>
          <w:p w:rsidR="009C656E" w:rsidRPr="00314229" w:rsidRDefault="009C656E" w:rsidP="009C656E">
            <w:pPr>
              <w:spacing w:after="120"/>
              <w:rPr>
                <w:sz w:val="20"/>
              </w:rPr>
            </w:pPr>
            <w:r w:rsidRPr="00314229">
              <w:rPr>
                <w:sz w:val="20"/>
              </w:rPr>
              <w:t xml:space="preserve">Our implementation effort is ongoing.  We meet with agency partners and community stakeholders constantly.   Metro-North is currently constructing a new entranceway to the inbound platform at Fordham Station. This was direct outcome of our effort through working with them and City Parks Department, whose property it goes through, earlier in the year. DCP applied for and sponsored an Urban Land Institute Technical Assistance Panel grant which began in late July 2014.  </w:t>
            </w:r>
          </w:p>
          <w:p w:rsidR="00F74EDC" w:rsidRPr="00314229" w:rsidRDefault="00F74EDC" w:rsidP="00235209">
            <w:pPr>
              <w:rPr>
                <w:rFonts w:cs="Calibri"/>
                <w:b/>
              </w:rPr>
            </w:pPr>
          </w:p>
          <w:p w:rsidR="00881CA4" w:rsidRPr="00314229" w:rsidRDefault="00932945" w:rsidP="00235209">
            <w:pPr>
              <w:rPr>
                <w:rFonts w:cs="Calibri"/>
                <w:b/>
              </w:rPr>
            </w:pPr>
            <w:r w:rsidRPr="00314229">
              <w:rPr>
                <w:rFonts w:cs="Calibri"/>
                <w:b/>
              </w:rPr>
              <w:t>T</w:t>
            </w:r>
            <w:r w:rsidR="00C46F53" w:rsidRPr="00314229">
              <w:rPr>
                <w:rFonts w:cs="Calibri"/>
                <w:b/>
              </w:rPr>
              <w:t xml:space="preserve">ask L. </w:t>
            </w:r>
            <w:r w:rsidR="00881CA4" w:rsidRPr="00314229">
              <w:rPr>
                <w:rFonts w:cs="Calibri"/>
                <w:b/>
              </w:rPr>
              <w:t>Sustainable East New York</w:t>
            </w:r>
          </w:p>
          <w:p w:rsidR="00094993" w:rsidRPr="00314229" w:rsidRDefault="00094993" w:rsidP="00094993">
            <w:pPr>
              <w:rPr>
                <w:sz w:val="20"/>
              </w:rPr>
            </w:pPr>
            <w:r w:rsidRPr="00314229">
              <w:rPr>
                <w:sz w:val="20"/>
              </w:rPr>
              <w:t xml:space="preserve">The Sustainable Communities East New York project allowed DCP to build consensus with residents and other stakeholders in East New York around a vision for transit-oriented growth that will bring new housing opportunities and economic development to the neighborhood. </w:t>
            </w:r>
          </w:p>
          <w:p w:rsidR="00094993" w:rsidRPr="00314229" w:rsidRDefault="00094993" w:rsidP="00094993">
            <w:pPr>
              <w:rPr>
                <w:sz w:val="20"/>
              </w:rPr>
            </w:pPr>
          </w:p>
          <w:p w:rsidR="00094993" w:rsidRPr="00314229" w:rsidRDefault="00094993" w:rsidP="00094993">
            <w:pPr>
              <w:rPr>
                <w:sz w:val="20"/>
              </w:rPr>
            </w:pPr>
            <w:r w:rsidRPr="00314229">
              <w:rPr>
                <w:sz w:val="20"/>
              </w:rPr>
              <w:t>Extensive outreach in the form of visioning sessions, town hall meetings, and a Community Advisory Committee allowed residents to develop familiarity with planning issues, help determine the goals of the project, and take a strong role in shaping the final recommendations of the study. Cypress Hills Local Development Corporation served as a local partner in outreach efforts, and jointly sponsored events with DCP. The Community Advisory Committee met regularly to provide input into the study goals and recommendations. DCP staff regularly presented updates to Community Boards 5 and 16 and received constructive feedback which was integrated into the final report. Over the course of the study, hundreds of local residents made their voices heard in the planning process to shape the future of their neighborhood.</w:t>
            </w:r>
          </w:p>
          <w:p w:rsidR="00094993" w:rsidRPr="00314229" w:rsidRDefault="00094993" w:rsidP="00094993">
            <w:pPr>
              <w:rPr>
                <w:sz w:val="20"/>
              </w:rPr>
            </w:pPr>
          </w:p>
          <w:p w:rsidR="00094993" w:rsidRPr="00314229" w:rsidRDefault="00094993" w:rsidP="00094993">
            <w:pPr>
              <w:rPr>
                <w:sz w:val="20"/>
              </w:rPr>
            </w:pPr>
            <w:r w:rsidRPr="00314229">
              <w:rPr>
                <w:sz w:val="20"/>
              </w:rPr>
              <w:t>In addition to the extensive community outreach, this study was also strengthened by broad interagency coordination. DCP convened a Technical Advisory Committee which included representatives from numerous city agencies including Departments of Transportation, Housing Preservation and Development, Sanitation, Parks and Recreation, Environmental Protection, the Economic Development Corporation and the Metropolitan Transportation Authority, who all play crucial roles in neighborhood development. The Technical Advisory Committee met regularly and provided input into the study goals and recommendations. Many of these agencies have integrated shared goals into their work plans or initiated complementary studies in East New York.</w:t>
            </w:r>
          </w:p>
          <w:p w:rsidR="00094993" w:rsidRPr="00314229" w:rsidRDefault="00094993" w:rsidP="00094993">
            <w:pPr>
              <w:rPr>
                <w:sz w:val="20"/>
              </w:rPr>
            </w:pPr>
          </w:p>
          <w:p w:rsidR="00094993" w:rsidRPr="00314229" w:rsidRDefault="00094993" w:rsidP="00094993">
            <w:pPr>
              <w:rPr>
                <w:sz w:val="20"/>
              </w:rPr>
            </w:pPr>
            <w:r w:rsidRPr="00314229">
              <w:rPr>
                <w:sz w:val="20"/>
              </w:rPr>
              <w:t>This extensive coordination has resulted in a plan that is broadly supported in the community, by elected officials, and other stakeholders, and is ready to be implemented by city agencies and community-based organizations in partnership with City Planning. This study has laid the groundwork for a rezoning that will allow the neighborhood to capitalize on the existing regional and citywide transit network and will support a more sustainable community.</w:t>
            </w:r>
          </w:p>
          <w:p w:rsidR="00094993" w:rsidRPr="00314229" w:rsidRDefault="00094993" w:rsidP="00094993">
            <w:pPr>
              <w:rPr>
                <w:sz w:val="20"/>
              </w:rPr>
            </w:pPr>
          </w:p>
          <w:p w:rsidR="00094993" w:rsidRPr="00314229" w:rsidRDefault="00094993" w:rsidP="00094993">
            <w:pPr>
              <w:rPr>
                <w:sz w:val="20"/>
              </w:rPr>
            </w:pPr>
            <w:r w:rsidRPr="00314229">
              <w:rPr>
                <w:sz w:val="20"/>
              </w:rPr>
              <w:t>This project has been a crucial template for future neighborhood studies to be undertaken as part of the NYC’s Housing New York plan, which sets out a goal of building or preserving 200,000 units of affordable housing in the next ten years. In order to attain this goal, the city will undertake fifteen neighborhood studies. These comprehensive neighborhood studies will identify ways to create opportunities for new housing while improving livability of neighborhoods through targeted investments in physical and social infrastructure.</w:t>
            </w:r>
          </w:p>
          <w:p w:rsidR="00094993" w:rsidRPr="00314229" w:rsidRDefault="00094993" w:rsidP="00094993">
            <w:pPr>
              <w:rPr>
                <w:sz w:val="20"/>
              </w:rPr>
            </w:pPr>
          </w:p>
          <w:p w:rsidR="00094993" w:rsidRPr="00314229" w:rsidRDefault="00094993" w:rsidP="00094993">
            <w:pPr>
              <w:rPr>
                <w:sz w:val="20"/>
              </w:rPr>
            </w:pPr>
            <w:r w:rsidRPr="00314229">
              <w:rPr>
                <w:sz w:val="20"/>
              </w:rPr>
              <w:t xml:space="preserve">This study has spurred other city agencies to undertake projects which complement the goals of improving livability in East New York. DOT initiated two transportation studies which cover the East New York area. Their analysis of transportation needs in the Highland Park and East New York communities will be informed by the planning framework developed by this study, and will include DCP projections for residential population growth and increased commercial activity. This will allow for transportation enhancements to serve the needs of increased population and facilitate a safer and more efficient street network. </w:t>
            </w:r>
          </w:p>
          <w:p w:rsidR="00094993" w:rsidRPr="00314229" w:rsidRDefault="00094993" w:rsidP="00094993">
            <w:pPr>
              <w:rPr>
                <w:sz w:val="20"/>
              </w:rPr>
            </w:pPr>
          </w:p>
          <w:p w:rsidR="00094993" w:rsidRPr="00314229" w:rsidRDefault="00094993" w:rsidP="00094993">
            <w:pPr>
              <w:rPr>
                <w:sz w:val="20"/>
              </w:rPr>
            </w:pPr>
            <w:r w:rsidRPr="00314229">
              <w:rPr>
                <w:sz w:val="20"/>
              </w:rPr>
              <w:t xml:space="preserve">As well, the Atlantic Avenue corridor, which bisects the study area, is a major focus for Vision Zero, NYC’s plan to improve street safety, particularly for pedestrians. It has been recently designated as a Slow Zone which reduced the speed limit from 30 to 25 mph. Former NYC Council Member Erik Dilan </w:t>
            </w:r>
            <w:r w:rsidRPr="00314229">
              <w:rPr>
                <w:b/>
                <w:sz w:val="20"/>
              </w:rPr>
              <w:t>committed $2M towards streetscape improvements</w:t>
            </w:r>
            <w:r w:rsidRPr="00314229">
              <w:rPr>
                <w:sz w:val="20"/>
              </w:rPr>
              <w:t xml:space="preserve"> along Atlantic Avenue which could include new crosswalks, signals, curb extensions, and safety medians, which will make crossing this busy corridor safer for pedestrians. This will improve access to transit for area residents and visitors. DOT is seeking additional funding so that such improvements can be implemented throughout the length of </w:t>
            </w:r>
            <w:proofErr w:type="spellStart"/>
            <w:r w:rsidRPr="00314229">
              <w:rPr>
                <w:sz w:val="20"/>
              </w:rPr>
              <w:t>Atna</w:t>
            </w:r>
            <w:proofErr w:type="spellEnd"/>
            <w:r w:rsidRPr="00314229">
              <w:rPr>
                <w:sz w:val="20"/>
              </w:rPr>
              <w:t>.</w:t>
            </w:r>
          </w:p>
          <w:p w:rsidR="00094993" w:rsidRPr="00314229" w:rsidRDefault="00094993" w:rsidP="00094993">
            <w:pPr>
              <w:rPr>
                <w:sz w:val="20"/>
              </w:rPr>
            </w:pPr>
          </w:p>
          <w:p w:rsidR="00094993" w:rsidRPr="00314229" w:rsidRDefault="00094993" w:rsidP="00094993">
            <w:pPr>
              <w:rPr>
                <w:sz w:val="20"/>
              </w:rPr>
            </w:pPr>
            <w:r w:rsidRPr="00314229">
              <w:rPr>
                <w:sz w:val="20"/>
              </w:rPr>
              <w:t xml:space="preserve">NYC Department of City Planning applied for a New York State Brownfield Opportunity Area grant jointly with the Cypress Hills Local Development Corporation and was awarded </w:t>
            </w:r>
            <w:r w:rsidRPr="00314229">
              <w:rPr>
                <w:b/>
                <w:sz w:val="20"/>
              </w:rPr>
              <w:t>over $1M in funding for a Step III BOA implementation project</w:t>
            </w:r>
            <w:r w:rsidRPr="00314229">
              <w:rPr>
                <w:sz w:val="20"/>
              </w:rPr>
              <w:t xml:space="preserve">. This funding will support a comprehensive area rezoning which will allow redevelopment of underutilized brownfield sites in the area. Cypress Hills Local Development Corporation received $25,000 in funding </w:t>
            </w:r>
            <w:r w:rsidR="0024234D" w:rsidRPr="00314229">
              <w:rPr>
                <w:sz w:val="20"/>
              </w:rPr>
              <w:t>from the Consortium’s</w:t>
            </w:r>
            <w:r w:rsidRPr="00314229">
              <w:rPr>
                <w:sz w:val="20"/>
              </w:rPr>
              <w:t xml:space="preserve"> Transit-Oriented Housing Incentive Fund to support a mixed-use housing and retail development near transit.</w:t>
            </w:r>
          </w:p>
          <w:p w:rsidR="00094993" w:rsidRPr="00314229" w:rsidRDefault="00094993" w:rsidP="00094993">
            <w:pPr>
              <w:rPr>
                <w:sz w:val="20"/>
              </w:rPr>
            </w:pPr>
          </w:p>
          <w:p w:rsidR="00094993" w:rsidRPr="00314229" w:rsidRDefault="00094993" w:rsidP="00094993">
            <w:pPr>
              <w:rPr>
                <w:sz w:val="20"/>
              </w:rPr>
            </w:pPr>
            <w:r w:rsidRPr="00314229">
              <w:rPr>
                <w:sz w:val="20"/>
              </w:rPr>
              <w:t xml:space="preserve">The New York City Housing Authority is currently applying for a HUD Choice Neighborhood grant to support community planning in Brownsville, Brooklyn, adjacent to the East New York study area. This study will further the City’s goals, as carried out in East New York, of conducting comprehensive neighborhood planning, improving access to affordable housing, and promoting livable neighborhoods. </w:t>
            </w:r>
          </w:p>
          <w:p w:rsidR="00094993" w:rsidRPr="00314229" w:rsidRDefault="00094993" w:rsidP="00094993">
            <w:pPr>
              <w:rPr>
                <w:sz w:val="20"/>
              </w:rPr>
            </w:pPr>
          </w:p>
          <w:p w:rsidR="00094993" w:rsidRPr="00314229" w:rsidRDefault="00094993" w:rsidP="00094993">
            <w:pPr>
              <w:rPr>
                <w:sz w:val="20"/>
              </w:rPr>
            </w:pPr>
            <w:r w:rsidRPr="00314229">
              <w:rPr>
                <w:sz w:val="20"/>
              </w:rPr>
              <w:t xml:space="preserve">Since December 2013, the project team has continued to meet with elected officials, city agencies, and community partners to advance the goals of the study. Elected officials, including New York City Council Members Rafael </w:t>
            </w:r>
            <w:proofErr w:type="spellStart"/>
            <w:r w:rsidRPr="00314229">
              <w:rPr>
                <w:sz w:val="20"/>
              </w:rPr>
              <w:t>Espinal</w:t>
            </w:r>
            <w:proofErr w:type="spellEnd"/>
            <w:r w:rsidRPr="00314229">
              <w:rPr>
                <w:sz w:val="20"/>
              </w:rPr>
              <w:t xml:space="preserve"> and Inez Barron continue to be supportive of the project.</w:t>
            </w:r>
          </w:p>
          <w:p w:rsidR="00094993" w:rsidRPr="00314229" w:rsidRDefault="00094993" w:rsidP="00094993">
            <w:pPr>
              <w:rPr>
                <w:sz w:val="20"/>
              </w:rPr>
            </w:pPr>
          </w:p>
          <w:p w:rsidR="00094993" w:rsidRPr="00314229" w:rsidRDefault="00094993" w:rsidP="00094993">
            <w:pPr>
              <w:rPr>
                <w:sz w:val="20"/>
              </w:rPr>
            </w:pPr>
            <w:r w:rsidRPr="00314229">
              <w:rPr>
                <w:sz w:val="20"/>
              </w:rPr>
              <w:t>The Urban Land Institute convened a Technical Assistance Panel in June to further explore economic development scenarios for Broadway Junction. This panel brought together industry professionals to examine the transit-rich area around Broadway Junction, which this study envisions as a major regional destination with new commercial and institutional uses. The findings of the panel supported this vision, and provided further conceptual development of issues such as economic development, infrastructure, and connectivity.</w:t>
            </w:r>
          </w:p>
          <w:p w:rsidR="00094993" w:rsidRPr="00314229" w:rsidRDefault="00094993" w:rsidP="00094993">
            <w:pPr>
              <w:rPr>
                <w:sz w:val="20"/>
              </w:rPr>
            </w:pPr>
          </w:p>
          <w:p w:rsidR="00932945" w:rsidRPr="00314229" w:rsidRDefault="00094993" w:rsidP="00094993">
            <w:pPr>
              <w:rPr>
                <w:sz w:val="20"/>
              </w:rPr>
            </w:pPr>
            <w:r w:rsidRPr="00314229">
              <w:rPr>
                <w:sz w:val="20"/>
              </w:rPr>
              <w:t>DCP dedicated considerable staff and resources to this project beyond what was covered by grant funding. Numerous staff members participated in planning and leading community workshops, developing recommendations, and reviewing the final report.</w:t>
            </w:r>
          </w:p>
          <w:p w:rsidR="00094993" w:rsidRPr="00314229" w:rsidRDefault="00094993" w:rsidP="00094993">
            <w:pPr>
              <w:rPr>
                <w:rFonts w:cs="Calibri"/>
              </w:rPr>
            </w:pPr>
          </w:p>
          <w:p w:rsidR="00881CA4" w:rsidRPr="00314229" w:rsidRDefault="005A6C99" w:rsidP="00235209">
            <w:pPr>
              <w:rPr>
                <w:rFonts w:cs="Calibri"/>
                <w:b/>
              </w:rPr>
            </w:pPr>
            <w:r w:rsidRPr="00314229">
              <w:rPr>
                <w:rFonts w:cs="Calibri"/>
                <w:b/>
              </w:rPr>
              <w:t xml:space="preserve">Task M: </w:t>
            </w:r>
            <w:r w:rsidR="00881CA4" w:rsidRPr="00314229">
              <w:rPr>
                <w:rFonts w:cs="Calibri"/>
                <w:b/>
              </w:rPr>
              <w:t>Nassau County Infill Redevelopment Feasibility Study</w:t>
            </w:r>
          </w:p>
          <w:p w:rsidR="00CC241C" w:rsidRPr="00314229" w:rsidRDefault="00CC241C" w:rsidP="00CC241C">
            <w:pPr>
              <w:rPr>
                <w:rFonts w:cs="Calibri"/>
                <w:sz w:val="20"/>
              </w:rPr>
            </w:pPr>
            <w:r w:rsidRPr="00314229">
              <w:rPr>
                <w:rFonts w:cs="Calibri"/>
                <w:sz w:val="20"/>
              </w:rPr>
              <w:t xml:space="preserve">The NY-CT Sustainable Communities Planning Grant provided an opportunity for Nassau County planners and engineers to interact with regional and local community stakeholders in examining LIRR station area neighborhoods.  The process ultimately provided a clear list of next steps and priority policy interventions to foster economic and transit-supported development in station areas included in the Nassau County Infill Redevelopment Feasibility Study.  Most importantly, the Study was able to investigate and ultimately articulate each community’s level of readiness and desire for station area redevelopment.  </w:t>
            </w:r>
          </w:p>
          <w:p w:rsidR="00CC241C" w:rsidRPr="00314229" w:rsidRDefault="00CC241C" w:rsidP="00CC241C">
            <w:pPr>
              <w:rPr>
                <w:rFonts w:cs="Calibri"/>
                <w:sz w:val="20"/>
              </w:rPr>
            </w:pPr>
          </w:p>
          <w:p w:rsidR="00CC241C" w:rsidRPr="00314229" w:rsidRDefault="00CC241C" w:rsidP="00CC241C">
            <w:pPr>
              <w:rPr>
                <w:rFonts w:cs="Calibri"/>
                <w:sz w:val="20"/>
              </w:rPr>
            </w:pPr>
            <w:r w:rsidRPr="00314229">
              <w:rPr>
                <w:rFonts w:cs="Calibri"/>
                <w:sz w:val="20"/>
              </w:rPr>
              <w:t xml:space="preserve">The success of the Study can largely be attributed to the participation of local community and civic organizations as well as political officials from each of the communities.  Through the assistance of the third-party public outreach coordinators and consultants, new relationships and partnerships were forged with groups ranging from small civic organizations to larger community activist networks consisting of members of all ages.  The outreach process was effective in connecting various local stakeholders and those not typically involved in land use planning initiatives to discuss housing and zoning issues at a larger geographic scale.  Members of individual community/neighborhood civic organizations are keenly aware of development trends and issues within their locale.  This planning process provided a forum for civic members from each community to share ideas and learn about successful projects and initiatives occurring in nearby communities within the County and beyond.   </w:t>
            </w:r>
          </w:p>
          <w:p w:rsidR="00CC241C" w:rsidRPr="00314229" w:rsidRDefault="00CC241C" w:rsidP="00CC241C">
            <w:pPr>
              <w:rPr>
                <w:rFonts w:cs="Calibri"/>
                <w:sz w:val="20"/>
              </w:rPr>
            </w:pPr>
          </w:p>
          <w:p w:rsidR="009C6BAB" w:rsidRPr="00314229" w:rsidRDefault="00CC241C" w:rsidP="00CC241C">
            <w:pPr>
              <w:rPr>
                <w:rFonts w:cs="Calibri"/>
                <w:sz w:val="20"/>
              </w:rPr>
            </w:pPr>
            <w:r w:rsidRPr="00314229">
              <w:rPr>
                <w:rFonts w:cs="Calibri"/>
                <w:sz w:val="20"/>
              </w:rPr>
              <w:t xml:space="preserve">The Study was land-use and transit-supported development focused; however, the evaluation of twenty-one station areas limited the study team to selecting three station areas for site specific redevelopment analysis.   With the assistance and overwhelming support of our local municipal and civic partners, the study team was able to prepare three station area pilot projects that would set the stage for the seamless transition to implementation by County and local municipal agencies.  To date, two out of the three station areas that received a pilot study are moving ahead with plans for redevelopment.   In the Baldwin LIRR station area, the Nassau County Department of Public Works will be commencing a fully-funded Grand Avenue complete streets traffic study this September, which is a precursor to the design and construction of right-of-way accessibility and mobility improvements.  </w:t>
            </w:r>
          </w:p>
          <w:p w:rsidR="009C6BAB" w:rsidRPr="00314229" w:rsidRDefault="009C6BAB" w:rsidP="00CC241C">
            <w:pPr>
              <w:rPr>
                <w:rFonts w:cs="Calibri"/>
                <w:sz w:val="20"/>
              </w:rPr>
            </w:pPr>
          </w:p>
          <w:p w:rsidR="00CC241C" w:rsidRPr="00314229" w:rsidRDefault="00CC241C" w:rsidP="00CC241C">
            <w:pPr>
              <w:rPr>
                <w:rFonts w:cs="Calibri"/>
                <w:sz w:val="20"/>
              </w:rPr>
            </w:pPr>
            <w:r w:rsidRPr="00314229">
              <w:rPr>
                <w:rFonts w:cs="Calibri"/>
                <w:sz w:val="20"/>
              </w:rPr>
              <w:t xml:space="preserve">The traffic study was identified in the Infill Study as the next step to realizing complete streets improvements and attracting mixed-use development along Grand Avenue in the vicinity of the LIRR station.  In the Village of Valley Stream, municipal officials are using the mixed-use site and design recommendations from the Infill Study to update the village’s zoning code and solicit mixed-use development proposals on public parking lots adjacent to the LIRR station.  The work being conducted by the Village is in furtherance of the transit-oriented development feasibility and site planning conducted during the Study.  The County assisted the Village in identifying a site for mixed-use development and provided design alternatives, such as bulk and floor area programming, for consideration by prospective developers and the community.  </w:t>
            </w:r>
          </w:p>
          <w:p w:rsidR="00CC241C" w:rsidRPr="00314229" w:rsidRDefault="00CC241C" w:rsidP="00CC241C">
            <w:pPr>
              <w:rPr>
                <w:rFonts w:cs="Calibri"/>
                <w:sz w:val="20"/>
              </w:rPr>
            </w:pPr>
          </w:p>
          <w:p w:rsidR="00CC241C" w:rsidRPr="00314229" w:rsidRDefault="00CC241C" w:rsidP="00CC241C">
            <w:pPr>
              <w:rPr>
                <w:rFonts w:cs="Calibri"/>
                <w:sz w:val="20"/>
              </w:rPr>
            </w:pPr>
            <w:r w:rsidRPr="00314229">
              <w:rPr>
                <w:rFonts w:cs="Calibri"/>
                <w:sz w:val="20"/>
              </w:rPr>
              <w:t xml:space="preserve">The Nassau Study has been useful in bringing housing developers, advocacy groups and municipal officials to the table.  The County is aware of several instances where the Study has been instrumental in connecting developers to interested municipalities.  The Study has provided necessary information to developers and has led to a more holistic understanding of the needs of the community and where resources should be targeted.  Many housing and advocacy organizations have utilized the Infill Study to better understand how different communities perceive multiple family redevelopment projects and to determine the availability and extent of vacant and/or underutilized property for such development in each of the study area communities.  </w:t>
            </w:r>
          </w:p>
          <w:p w:rsidR="00CC241C" w:rsidRPr="00314229" w:rsidRDefault="00CC241C" w:rsidP="00CC241C">
            <w:pPr>
              <w:rPr>
                <w:rFonts w:cs="Calibri"/>
                <w:sz w:val="20"/>
              </w:rPr>
            </w:pPr>
          </w:p>
          <w:p w:rsidR="00CC241C" w:rsidRPr="00314229" w:rsidRDefault="00CC241C" w:rsidP="00CC241C">
            <w:pPr>
              <w:rPr>
                <w:rFonts w:cs="Calibri"/>
                <w:sz w:val="20"/>
              </w:rPr>
            </w:pPr>
            <w:r w:rsidRPr="00314229">
              <w:rPr>
                <w:rFonts w:cs="Calibri"/>
                <w:sz w:val="20"/>
              </w:rPr>
              <w:t xml:space="preserve">The process also informed the New York Rising Community Reconstruction Program (CRP) planning process as it provided contextual examples of economic development initiatives and mixed-use development strategies that have been successfully implemented throughout Nassau County.  In Baldwin, the CRP process pivoted off of the complete streets research and recommendations of the Study to include a broader economic development strategy recommendation for the greater Grand Avenue corridor.  The CRP Plan recommends that complete streets design and adjacent development take into account storm resiliency measures such as green infrastructure and renewable energy generation for street lighting, fueling stations and community assets.  </w:t>
            </w:r>
          </w:p>
          <w:p w:rsidR="00CC241C" w:rsidRPr="00314229" w:rsidRDefault="00CC241C" w:rsidP="00CC241C">
            <w:pPr>
              <w:rPr>
                <w:rFonts w:cs="Calibri"/>
                <w:sz w:val="20"/>
              </w:rPr>
            </w:pPr>
          </w:p>
          <w:p w:rsidR="00CC241C" w:rsidRPr="00314229" w:rsidRDefault="00CC241C" w:rsidP="00CC241C">
            <w:pPr>
              <w:rPr>
                <w:rFonts w:cs="Calibri"/>
                <w:sz w:val="20"/>
              </w:rPr>
            </w:pPr>
            <w:r w:rsidRPr="00314229">
              <w:rPr>
                <w:rFonts w:cs="Calibri"/>
                <w:sz w:val="20"/>
              </w:rPr>
              <w:t>The draft Nassau County Infill Redevelopment Feasibility Report was circulated for review during January and February of 2014.  The revised draft, incorporating comments from the public, NY-CT SCI Consortium and HUD, was adopted on March 14. The County has spent the past few months assisting the Village of Valley Stream with its station area redevelopment planning.  The County will continue to coordinate with the Village and provide technical assistance when needed.  The County has also released and is currently reviewing proposals for a complete streets traffic study along Grand Avenue in the vicinity of the LIRR station.  The traffic study is expected to commence in early September, 2014.</w:t>
            </w:r>
          </w:p>
          <w:p w:rsidR="005334DE" w:rsidRPr="00314229" w:rsidRDefault="005334DE" w:rsidP="00CC241C">
            <w:pPr>
              <w:rPr>
                <w:rFonts w:cs="Calibri"/>
                <w:sz w:val="20"/>
              </w:rPr>
            </w:pPr>
          </w:p>
          <w:p w:rsidR="00CC241C" w:rsidRPr="00314229" w:rsidRDefault="00CC241C" w:rsidP="00CC241C">
            <w:pPr>
              <w:rPr>
                <w:rFonts w:cs="Calibri"/>
                <w:sz w:val="20"/>
              </w:rPr>
            </w:pPr>
            <w:r w:rsidRPr="00314229">
              <w:rPr>
                <w:rFonts w:cs="Calibri"/>
                <w:sz w:val="20"/>
              </w:rPr>
              <w:t xml:space="preserve">New York Rising Community Reconstruction Program (CRP) designated certain south shore communities as reconstruction zones. Baldwin happens to be in one of those communities and has been allocated CDBG-DR funding.  As mentioned earlier, certain planning initiatives and infrastructure improvements recommended for CDBG-DR funding leverage the preliminary planning work undertaken as part of the Infill Study.  </w:t>
            </w:r>
          </w:p>
          <w:p w:rsidR="00CC241C" w:rsidRPr="00314229" w:rsidRDefault="00CC241C" w:rsidP="00CC241C">
            <w:pPr>
              <w:rPr>
                <w:rFonts w:cs="Calibri"/>
                <w:sz w:val="20"/>
              </w:rPr>
            </w:pPr>
          </w:p>
          <w:p w:rsidR="005A6C99" w:rsidRPr="00314229" w:rsidRDefault="00CC241C" w:rsidP="00CC241C">
            <w:pPr>
              <w:rPr>
                <w:rFonts w:cs="Calibri"/>
                <w:sz w:val="20"/>
              </w:rPr>
            </w:pPr>
            <w:r w:rsidRPr="00314229">
              <w:rPr>
                <w:rFonts w:cs="Calibri"/>
                <w:sz w:val="20"/>
              </w:rPr>
              <w:t xml:space="preserve">In terms of local support, the Village of Valley Stream along with the Envision Valley Stream community group and the Baldwin Civic Association dedicated many hours to meeting with the County to discuss the issues and trends regarding redevelopment in their respective community.  The success of the project was due to the collaboration and assistance received from the County’s local partners.  </w:t>
            </w:r>
          </w:p>
          <w:p w:rsidR="00CC241C" w:rsidRPr="00314229" w:rsidRDefault="00CC241C" w:rsidP="00CC241C">
            <w:pPr>
              <w:rPr>
                <w:rFonts w:cs="Calibri"/>
              </w:rPr>
            </w:pPr>
          </w:p>
          <w:p w:rsidR="005A6C99" w:rsidRPr="00314229" w:rsidRDefault="005A6C99" w:rsidP="00235209">
            <w:pPr>
              <w:rPr>
                <w:rFonts w:cs="Calibri"/>
                <w:b/>
              </w:rPr>
            </w:pPr>
            <w:r w:rsidRPr="00314229">
              <w:rPr>
                <w:rFonts w:cs="Calibri"/>
                <w:b/>
              </w:rPr>
              <w:t>Task N: Suffolk County Transfer of Development Rights (TDR) Study</w:t>
            </w:r>
          </w:p>
          <w:p w:rsidR="00810F87" w:rsidRPr="00314229" w:rsidRDefault="00810F87" w:rsidP="00810F87">
            <w:pPr>
              <w:spacing w:after="240"/>
              <w:rPr>
                <w:rFonts w:cs="Calibri"/>
                <w:sz w:val="20"/>
              </w:rPr>
            </w:pPr>
            <w:r w:rsidRPr="00314229">
              <w:rPr>
                <w:rFonts w:cs="Calibri"/>
                <w:sz w:val="20"/>
              </w:rPr>
              <w:t>The Suffolk County TDR Study has enjoyed success in a couple of ways. First, stakeholders were engaged in the process. The stakeholders’ valuable input improved the quality of the study. Secondly, baseline was established in terms of standardizing information, facilitating the sharing of information.</w:t>
            </w:r>
          </w:p>
          <w:p w:rsidR="00810F87" w:rsidRPr="00314229" w:rsidRDefault="00810F87" w:rsidP="00810F87">
            <w:pPr>
              <w:spacing w:after="240"/>
              <w:rPr>
                <w:rFonts w:cs="Calibri"/>
                <w:sz w:val="20"/>
              </w:rPr>
            </w:pPr>
            <w:r w:rsidRPr="00314229">
              <w:rPr>
                <w:rFonts w:cs="Calibri"/>
                <w:sz w:val="20"/>
              </w:rPr>
              <w:t xml:space="preserve">The study has had a number of “points of influence” on planning, policy and/or funding. First, subsequent legislation has been drafted, incorporating aspects of the TDR Study. Information has been disseminated to the public which could conceivably lead to policy changes in development. Secondly, Suffolk County is creating a website that would illustrate TDR in action in the county. </w:t>
            </w:r>
          </w:p>
          <w:p w:rsidR="00810F87" w:rsidRPr="00314229" w:rsidRDefault="00810F87" w:rsidP="00810F87">
            <w:pPr>
              <w:spacing w:after="240"/>
              <w:rPr>
                <w:rFonts w:cs="Calibri"/>
                <w:sz w:val="20"/>
              </w:rPr>
            </w:pPr>
            <w:r w:rsidRPr="00314229">
              <w:rPr>
                <w:rFonts w:cs="Calibri"/>
                <w:sz w:val="20"/>
              </w:rPr>
              <w:t xml:space="preserve">A number of specific project activities have transpired since December 2013. The study included the convening of stakeholders which entailed discussion with policy makers in Suffolk County. A draft of the TDR report was reviewed which subsequently led to the drafting of legislation. Finally a website to display credit information was created. </w:t>
            </w:r>
          </w:p>
          <w:p w:rsidR="00810F87" w:rsidRPr="00314229" w:rsidRDefault="00810F87" w:rsidP="00810F87">
            <w:pPr>
              <w:rPr>
                <w:rFonts w:cs="Calibri"/>
                <w:sz w:val="20"/>
              </w:rPr>
            </w:pPr>
            <w:r w:rsidRPr="00314229">
              <w:rPr>
                <w:rFonts w:cs="Calibri"/>
                <w:sz w:val="20"/>
              </w:rPr>
              <w:t>The local match was as follow</w:t>
            </w:r>
            <w:r w:rsidR="0024234D" w:rsidRPr="00314229">
              <w:rPr>
                <w:rFonts w:cs="Calibri"/>
                <w:sz w:val="20"/>
              </w:rPr>
              <w:t>s:</w:t>
            </w:r>
            <w:r w:rsidRPr="00314229">
              <w:rPr>
                <w:rFonts w:cs="Calibri"/>
                <w:sz w:val="20"/>
              </w:rPr>
              <w:t xml:space="preserve"> $202,846 to the county, $121,051 to county consultant and $64,779 to a number of other purposes or entities including in-kind service, coordination with the county lawyers, the health department, real estate and information tech department. Other labor-intensive services include “hundreds of hours” of coordination with local officials.</w:t>
            </w:r>
          </w:p>
          <w:p w:rsidR="00810F87" w:rsidRPr="00314229" w:rsidRDefault="00810F87" w:rsidP="00810F87">
            <w:pPr>
              <w:rPr>
                <w:rFonts w:cs="Calibri"/>
              </w:rPr>
            </w:pPr>
          </w:p>
          <w:p w:rsidR="00667FCC" w:rsidRPr="00314229" w:rsidRDefault="00ED6D69" w:rsidP="00810F87">
            <w:pPr>
              <w:rPr>
                <w:rFonts w:cs="Calibri"/>
                <w:b/>
              </w:rPr>
            </w:pPr>
            <w:r w:rsidRPr="00314229">
              <w:rPr>
                <w:rFonts w:cs="Calibri"/>
                <w:b/>
              </w:rPr>
              <w:t xml:space="preserve">Section 11.15: </w:t>
            </w:r>
            <w:r w:rsidR="00667FCC" w:rsidRPr="00314229">
              <w:rPr>
                <w:rFonts w:cs="Calibri"/>
                <w:b/>
              </w:rPr>
              <w:t>I-287 Corridor Project</w:t>
            </w:r>
          </w:p>
          <w:p w:rsidR="00CD388C" w:rsidRPr="00314229" w:rsidRDefault="00CD388C" w:rsidP="00CD388C">
            <w:pPr>
              <w:spacing w:after="120"/>
              <w:rPr>
                <w:rFonts w:cs="Calibri"/>
                <w:sz w:val="20"/>
              </w:rPr>
            </w:pPr>
            <w:r w:rsidRPr="00314229">
              <w:rPr>
                <w:rFonts w:cs="Calibri"/>
                <w:sz w:val="20"/>
              </w:rPr>
              <w:t xml:space="preserve">The I-287 Corridor Project </w:t>
            </w:r>
            <w:r w:rsidR="00667FCC" w:rsidRPr="00314229">
              <w:rPr>
                <w:rFonts w:cs="Calibri"/>
                <w:sz w:val="20"/>
              </w:rPr>
              <w:t xml:space="preserve">succeeded </w:t>
            </w:r>
            <w:r w:rsidRPr="00314229">
              <w:rPr>
                <w:rFonts w:cs="Calibri"/>
                <w:sz w:val="20"/>
              </w:rPr>
              <w:t>by</w:t>
            </w:r>
            <w:r w:rsidR="00667FCC" w:rsidRPr="00314229">
              <w:rPr>
                <w:rFonts w:cs="Calibri"/>
                <w:sz w:val="20"/>
              </w:rPr>
              <w:t xml:space="preserve"> </w:t>
            </w:r>
            <w:r w:rsidRPr="00314229">
              <w:rPr>
                <w:rFonts w:cs="Calibri"/>
                <w:sz w:val="20"/>
              </w:rPr>
              <w:t xml:space="preserve">engaging </w:t>
            </w:r>
            <w:r w:rsidR="00667FCC" w:rsidRPr="00314229">
              <w:rPr>
                <w:rFonts w:cs="Calibri"/>
                <w:sz w:val="20"/>
              </w:rPr>
              <w:t xml:space="preserve">staff of local municipalities adjacent to the Cross Westchester Expressway segment of I-287 in Westchester County, the County departments of Planning and Public Works &amp; Transportation, the New York Metropolitan Transportation Council (NYMTC) , the Pace University Land Use Law Center, the Westchester County Association, the Urban Land Institute and the Regional Plan Association to discuss, plan and execute an interactive planning program on December 5, 2012 to explore an approach to repurposing the many office parks in this segment of the I-287 Corridor. </w:t>
            </w:r>
          </w:p>
          <w:p w:rsidR="00667FCC" w:rsidRPr="00314229" w:rsidRDefault="00667FCC" w:rsidP="00CD388C">
            <w:pPr>
              <w:spacing w:after="120"/>
              <w:rPr>
                <w:rFonts w:cs="Calibri"/>
                <w:sz w:val="20"/>
              </w:rPr>
            </w:pPr>
            <w:r w:rsidRPr="00314229">
              <w:rPr>
                <w:rFonts w:cs="Calibri"/>
                <w:sz w:val="20"/>
              </w:rPr>
              <w:t xml:space="preserve">Prominent municipalities represented in the project included the City of White Plains, the Town of </w:t>
            </w:r>
            <w:proofErr w:type="spellStart"/>
            <w:r w:rsidRPr="00314229">
              <w:rPr>
                <w:rFonts w:cs="Calibri"/>
                <w:sz w:val="20"/>
              </w:rPr>
              <w:t>Greenburgh</w:t>
            </w:r>
            <w:proofErr w:type="spellEnd"/>
            <w:r w:rsidRPr="00314229">
              <w:rPr>
                <w:rFonts w:cs="Calibri"/>
                <w:sz w:val="20"/>
              </w:rPr>
              <w:t>, the Town/Village of Harrison and the Village of Port Chester. The project partic</w:t>
            </w:r>
            <w:r w:rsidR="00CD388C" w:rsidRPr="00314229">
              <w:rPr>
                <w:rFonts w:cs="Calibri"/>
                <w:sz w:val="20"/>
              </w:rPr>
              <w:t>ipants reached consensus that a)</w:t>
            </w:r>
            <w:r w:rsidRPr="00314229">
              <w:rPr>
                <w:rFonts w:cs="Calibri"/>
                <w:sz w:val="20"/>
              </w:rPr>
              <w:t xml:space="preserve"> </w:t>
            </w:r>
            <w:r w:rsidR="00CD388C" w:rsidRPr="00314229">
              <w:rPr>
                <w:rFonts w:cs="Calibri"/>
                <w:sz w:val="20"/>
              </w:rPr>
              <w:t>office</w:t>
            </w:r>
            <w:r w:rsidRPr="00314229">
              <w:rPr>
                <w:rFonts w:cs="Calibri"/>
                <w:sz w:val="20"/>
              </w:rPr>
              <w:t xml:space="preserve"> park repurposing in the corridor is desirable; b) </w:t>
            </w:r>
            <w:r w:rsidR="00CD388C" w:rsidRPr="00314229">
              <w:rPr>
                <w:rFonts w:cs="Calibri"/>
                <w:sz w:val="20"/>
              </w:rPr>
              <w:t>s</w:t>
            </w:r>
            <w:r w:rsidR="00ED6D69" w:rsidRPr="00314229">
              <w:rPr>
                <w:rFonts w:cs="Calibri"/>
                <w:sz w:val="20"/>
              </w:rPr>
              <w:t>takeholders in</w:t>
            </w:r>
            <w:r w:rsidRPr="00314229">
              <w:rPr>
                <w:rFonts w:cs="Calibri"/>
                <w:sz w:val="20"/>
              </w:rPr>
              <w:t xml:space="preserve"> and around the corridor need to be provided with an overview of corridor conditions, the work done to date to develop the concept of office park repurposing, and the tools available to effect repurposing; and c) </w:t>
            </w:r>
            <w:r w:rsidR="00CD388C" w:rsidRPr="00314229">
              <w:rPr>
                <w:rFonts w:cs="Calibri"/>
                <w:sz w:val="20"/>
              </w:rPr>
              <w:t>The</w:t>
            </w:r>
            <w:r w:rsidRPr="00314229">
              <w:rPr>
                <w:rFonts w:cs="Calibri"/>
                <w:sz w:val="20"/>
              </w:rPr>
              <w:t xml:space="preserve"> project participants needed to learn about the stakeholders’ concerns about and ideas for repurposing. </w:t>
            </w:r>
          </w:p>
          <w:p w:rsidR="00667FCC" w:rsidRPr="00314229" w:rsidRDefault="00667FCC" w:rsidP="00CD388C">
            <w:pPr>
              <w:spacing w:after="120"/>
              <w:rPr>
                <w:rFonts w:cs="Calibri"/>
                <w:sz w:val="20"/>
              </w:rPr>
            </w:pPr>
            <w:r w:rsidRPr="00314229">
              <w:rPr>
                <w:rFonts w:cs="Calibri"/>
                <w:sz w:val="20"/>
              </w:rPr>
              <w:t xml:space="preserve">As a result of the 2012 interactive planning program, 225 comments, concerns and ideas were gathered, grouped and organized into regional and local municipal actions that will be needed to significantly </w:t>
            </w:r>
            <w:r w:rsidR="00ED6D69" w:rsidRPr="00314229">
              <w:rPr>
                <w:rFonts w:cs="Calibri"/>
                <w:sz w:val="20"/>
              </w:rPr>
              <w:t>repurpose the</w:t>
            </w:r>
            <w:r w:rsidRPr="00314229">
              <w:rPr>
                <w:rFonts w:cs="Calibri"/>
                <w:sz w:val="20"/>
              </w:rPr>
              <w:t xml:space="preserve"> office parks in the corridor. These actions include the development of a Comprehensive Plan for the corridor as a whole, educating the public and local officials on repurposing, assessing the impacts of repurposing, updating local comprehensive plans and rezoning, making use of form-based zoning codes and employing zoning incentives, and better integrating the office parks into the various transportation facilities and services in the corridor.  A presentation of the results was developed to convey these ideas to a wider audience.</w:t>
            </w:r>
          </w:p>
          <w:p w:rsidR="00CD388C" w:rsidRPr="00314229" w:rsidRDefault="00667FCC" w:rsidP="00CD388C">
            <w:pPr>
              <w:spacing w:after="120"/>
              <w:rPr>
                <w:rFonts w:cs="Calibri"/>
                <w:sz w:val="20"/>
              </w:rPr>
            </w:pPr>
            <w:r w:rsidRPr="00314229">
              <w:rPr>
                <w:rFonts w:cs="Calibri"/>
                <w:sz w:val="20"/>
              </w:rPr>
              <w:t xml:space="preserve">The </w:t>
            </w:r>
            <w:r w:rsidR="00CD388C" w:rsidRPr="00314229">
              <w:rPr>
                <w:rFonts w:cs="Calibri"/>
                <w:sz w:val="20"/>
              </w:rPr>
              <w:t xml:space="preserve">end product was used </w:t>
            </w:r>
            <w:r w:rsidRPr="00314229">
              <w:rPr>
                <w:rFonts w:cs="Calibri"/>
                <w:sz w:val="20"/>
              </w:rPr>
              <w:t xml:space="preserve">by the Westchester County Association, Westchester Planning Department </w:t>
            </w:r>
            <w:r w:rsidR="00ED6D69" w:rsidRPr="00314229">
              <w:rPr>
                <w:rFonts w:cs="Calibri"/>
                <w:sz w:val="20"/>
              </w:rPr>
              <w:t>and various</w:t>
            </w:r>
            <w:r w:rsidRPr="00314229">
              <w:rPr>
                <w:rFonts w:cs="Calibri"/>
                <w:sz w:val="20"/>
              </w:rPr>
              <w:t xml:space="preserve"> local municipalities to influence both regional and local planning. </w:t>
            </w:r>
            <w:r w:rsidR="00CD388C" w:rsidRPr="00314229">
              <w:rPr>
                <w:rFonts w:cs="Calibri"/>
                <w:sz w:val="20"/>
              </w:rPr>
              <w:t xml:space="preserve">For instance, the study was presented to </w:t>
            </w:r>
            <w:r w:rsidRPr="00314229">
              <w:rPr>
                <w:rFonts w:cs="Calibri"/>
                <w:sz w:val="20"/>
              </w:rPr>
              <w:t>the Mass Transit Task Force appointed by Governor Cuomo that has explored transit improvements in the corridor to accompany the construction of the new Tappan Zee Bridge. Local municipalities</w:t>
            </w:r>
            <w:r w:rsidR="00CD388C" w:rsidRPr="00314229">
              <w:rPr>
                <w:rFonts w:cs="Calibri"/>
                <w:sz w:val="20"/>
              </w:rPr>
              <w:t xml:space="preserve"> also</w:t>
            </w:r>
            <w:r w:rsidRPr="00314229">
              <w:rPr>
                <w:rFonts w:cs="Calibri"/>
                <w:sz w:val="20"/>
              </w:rPr>
              <w:t xml:space="preserve"> considered the results in their local comprehensive planning. The results will also be used in the development of NYMTC’s next Regional Transportation Plan.  Currently</w:t>
            </w:r>
            <w:r w:rsidR="00ED6D69" w:rsidRPr="00314229">
              <w:rPr>
                <w:rFonts w:cs="Calibri"/>
                <w:sz w:val="20"/>
              </w:rPr>
              <w:t>, the</w:t>
            </w:r>
            <w:r w:rsidRPr="00314229">
              <w:rPr>
                <w:rFonts w:cs="Calibri"/>
                <w:sz w:val="20"/>
              </w:rPr>
              <w:t xml:space="preserve"> County and local municipalities are in the process of organizing an on-going, informal working group on the topic.</w:t>
            </w:r>
          </w:p>
          <w:p w:rsidR="00D75D41" w:rsidRPr="00314229" w:rsidRDefault="00667FCC" w:rsidP="00667FCC">
            <w:pPr>
              <w:rPr>
                <w:rFonts w:cs="Calibri"/>
                <w:sz w:val="20"/>
              </w:rPr>
            </w:pPr>
            <w:r w:rsidRPr="00314229">
              <w:rPr>
                <w:rFonts w:cs="Calibri"/>
                <w:sz w:val="20"/>
              </w:rPr>
              <w:t>Although part of the work program of the New York-Connecticut Sustainable Communities Consortium, no HUD grant funds were used in the execution of this project. NYMTC staff provided the in-kind staff support for the project using federal transportation planning funds. Other participants provided in-kind staff resources funded through county, local, and non-profit funding sources.</w:t>
            </w:r>
          </w:p>
          <w:p w:rsidR="0057775D" w:rsidRPr="00314229" w:rsidRDefault="0057775D" w:rsidP="00667FCC">
            <w:pPr>
              <w:rPr>
                <w:rFonts w:cs="Calibri"/>
                <w:color w:val="FF0000"/>
              </w:rPr>
            </w:pPr>
          </w:p>
          <w:p w:rsidR="005C7C6E" w:rsidRPr="00314229" w:rsidRDefault="00CD388C" w:rsidP="004E5595">
            <w:pPr>
              <w:spacing w:after="120"/>
              <w:rPr>
                <w:rFonts w:cs="Arial"/>
                <w:b/>
                <w:bCs/>
                <w:sz w:val="18"/>
                <w:szCs w:val="18"/>
                <w:shd w:val="clear" w:color="auto" w:fill="FFFFFF"/>
              </w:rPr>
            </w:pPr>
            <w:r w:rsidRPr="00314229">
              <w:rPr>
                <w:rFonts w:cs="Arial"/>
                <w:b/>
                <w:bCs/>
                <w:sz w:val="18"/>
                <w:szCs w:val="18"/>
                <w:shd w:val="clear" w:color="auto" w:fill="FFFFFF"/>
              </w:rPr>
              <w:t xml:space="preserve">Section 11.13: </w:t>
            </w:r>
            <w:r w:rsidR="005C7C6E" w:rsidRPr="00314229">
              <w:rPr>
                <w:rFonts w:cs="Arial"/>
                <w:b/>
                <w:bCs/>
                <w:sz w:val="18"/>
                <w:szCs w:val="18"/>
                <w:shd w:val="clear" w:color="auto" w:fill="FFFFFF"/>
              </w:rPr>
              <w:t>Southern Westchester East-West Corridor Working Group</w:t>
            </w:r>
          </w:p>
          <w:p w:rsidR="004E5595" w:rsidRPr="00314229" w:rsidRDefault="004E5595" w:rsidP="004E5595">
            <w:pPr>
              <w:spacing w:after="120"/>
              <w:rPr>
                <w:sz w:val="20"/>
              </w:rPr>
            </w:pPr>
            <w:r w:rsidRPr="00314229">
              <w:rPr>
                <w:sz w:val="20"/>
              </w:rPr>
              <w:t xml:space="preserve">The Southern Westchester East-West Corridor study successfully convened </w:t>
            </w:r>
            <w:r w:rsidR="005C7C6E" w:rsidRPr="00314229">
              <w:rPr>
                <w:sz w:val="20"/>
              </w:rPr>
              <w:t>representatives of the Cities of Yonkers, Mount Vernon and New Rochelle, the Westchester County Departments of Planning and Public Works &amp; Transportation, the New York Metropolitan Transportation Council (NYMTC) and the Regional</w:t>
            </w:r>
            <w:r w:rsidRPr="00314229">
              <w:rPr>
                <w:sz w:val="20"/>
              </w:rPr>
              <w:t xml:space="preserve"> Plan Association to develop a </w:t>
            </w:r>
            <w:r w:rsidR="005C7C6E" w:rsidRPr="00314229">
              <w:rPr>
                <w:sz w:val="20"/>
              </w:rPr>
              <w:t>scan</w:t>
            </w:r>
            <w:r w:rsidRPr="00314229">
              <w:rPr>
                <w:sz w:val="20"/>
              </w:rPr>
              <w:t xml:space="preserve"> of issues </w:t>
            </w:r>
            <w:r w:rsidR="005C7C6E" w:rsidRPr="00314229">
              <w:rPr>
                <w:sz w:val="20"/>
              </w:rPr>
              <w:t>in the Cross County Parkway Corridor</w:t>
            </w:r>
            <w:r w:rsidRPr="00314229">
              <w:rPr>
                <w:sz w:val="20"/>
              </w:rPr>
              <w:t xml:space="preserve"> of southern Westchester</w:t>
            </w:r>
            <w:r w:rsidR="005C7C6E" w:rsidRPr="00314229">
              <w:rPr>
                <w:sz w:val="20"/>
              </w:rPr>
              <w:t>.</w:t>
            </w:r>
          </w:p>
          <w:p w:rsidR="005C7C6E" w:rsidRPr="00314229" w:rsidRDefault="005C7C6E" w:rsidP="004E5595">
            <w:pPr>
              <w:spacing w:after="120"/>
              <w:rPr>
                <w:sz w:val="20"/>
              </w:rPr>
            </w:pPr>
            <w:r w:rsidRPr="00314229">
              <w:rPr>
                <w:sz w:val="20"/>
              </w:rPr>
              <w:t>The issues scan included a discussion of traffic issues, planned r</w:t>
            </w:r>
            <w:r w:rsidR="004E5595" w:rsidRPr="00314229">
              <w:rPr>
                <w:sz w:val="20"/>
              </w:rPr>
              <w:t xml:space="preserve">oadway projects, transit issues, </w:t>
            </w:r>
            <w:r w:rsidRPr="00314229">
              <w:rPr>
                <w:sz w:val="20"/>
              </w:rPr>
              <w:t xml:space="preserve">land uses and trends, bicycle and pedestrian issues, parking policies among the municipalities, and a review of development projects underway and being planned in Yonkers, Mount Vernon and New Rochelle. </w:t>
            </w:r>
          </w:p>
          <w:p w:rsidR="004E5595" w:rsidRPr="00314229" w:rsidRDefault="005C7C6E" w:rsidP="004E5595">
            <w:pPr>
              <w:spacing w:after="120"/>
              <w:rPr>
                <w:sz w:val="20"/>
              </w:rPr>
            </w:pPr>
            <w:r w:rsidRPr="00314229">
              <w:rPr>
                <w:sz w:val="20"/>
              </w:rPr>
              <w:t>The results of the planning program provide</w:t>
            </w:r>
            <w:r w:rsidR="004E5595" w:rsidRPr="00314229">
              <w:rPr>
                <w:sz w:val="20"/>
              </w:rPr>
              <w:t>d</w:t>
            </w:r>
            <w:r w:rsidR="008B085B" w:rsidRPr="00314229">
              <w:rPr>
                <w:sz w:val="20"/>
              </w:rPr>
              <w:t xml:space="preserve"> a framework for the three c</w:t>
            </w:r>
            <w:r w:rsidRPr="00314229">
              <w:rPr>
                <w:sz w:val="20"/>
              </w:rPr>
              <w:t xml:space="preserve">ities and Westchester County to influence both regional and local planning. </w:t>
            </w:r>
            <w:r w:rsidR="007B41D0" w:rsidRPr="00314229">
              <w:rPr>
                <w:sz w:val="20"/>
              </w:rPr>
              <w:t xml:space="preserve">For instance, </w:t>
            </w:r>
            <w:r w:rsidRPr="00314229">
              <w:rPr>
                <w:sz w:val="20"/>
              </w:rPr>
              <w:t xml:space="preserve">Westchester County </w:t>
            </w:r>
            <w:r w:rsidR="007B41D0" w:rsidRPr="00314229">
              <w:rPr>
                <w:sz w:val="20"/>
              </w:rPr>
              <w:t xml:space="preserve">is </w:t>
            </w:r>
            <w:r w:rsidRPr="00314229">
              <w:rPr>
                <w:sz w:val="20"/>
              </w:rPr>
              <w:t>pursuing a study to include a transit analysis of the Bee-Line Route 7 bus service which is the major bus route operating in the corridor.  The Cities of Yonkers, Mount Vernon and New Rochelle will be included in the public outreach for the</w:t>
            </w:r>
            <w:r w:rsidR="007B41D0" w:rsidRPr="00314229">
              <w:rPr>
                <w:sz w:val="20"/>
              </w:rPr>
              <w:t xml:space="preserve"> transit</w:t>
            </w:r>
            <w:r w:rsidRPr="00314229">
              <w:rPr>
                <w:sz w:val="20"/>
              </w:rPr>
              <w:t xml:space="preserve"> project.</w:t>
            </w:r>
            <w:r w:rsidR="00737DBC" w:rsidRPr="00314229">
              <w:rPr>
                <w:sz w:val="20"/>
              </w:rPr>
              <w:t xml:space="preserve"> NYMTC will also use the developments in the next Regional Transportation Plan. Continued dialogue among the study participants will occur among the study participants as follow up actions are pursued.</w:t>
            </w:r>
          </w:p>
          <w:p w:rsidR="004E5595" w:rsidRPr="00314229" w:rsidRDefault="005C7C6E" w:rsidP="004E5595">
            <w:pPr>
              <w:spacing w:after="120"/>
              <w:rPr>
                <w:sz w:val="20"/>
              </w:rPr>
            </w:pPr>
            <w:r w:rsidRPr="00314229">
              <w:rPr>
                <w:sz w:val="20"/>
              </w:rPr>
              <w:t>Although part of the work program of the New York-Connecticut Sustainable Communities Consortium, no HUD grant funds were used in the execution of this project. NYMTC staff provided the in-kind staff support for the project using federal transportation planning funds. Other participants provided in-kind staff resources funded through county, local, federal and non-profit funding sources.</w:t>
            </w:r>
          </w:p>
          <w:p w:rsidR="004E5595" w:rsidRPr="00314229" w:rsidRDefault="004E5595" w:rsidP="004E5595">
            <w:pPr>
              <w:rPr>
                <w:sz w:val="20"/>
              </w:rPr>
            </w:pPr>
            <w:r w:rsidRPr="00314229">
              <w:rPr>
                <w:sz w:val="20"/>
              </w:rPr>
              <w:t>Several next steps were identified to strengthen transit oriented development in the corridor.  These included evaluating ways to improve transit and increase its use, establish Complete Streets policies, improve bicycle amenities, consider alternatives to minimum parking requirements and adopt form based codes.</w:t>
            </w:r>
            <w:r w:rsidR="00737DBC" w:rsidRPr="00314229">
              <w:rPr>
                <w:sz w:val="20"/>
              </w:rPr>
              <w:t xml:space="preserve"> Continued dialogue among the study participants will occur among the study participants as follow up actions are pursued.</w:t>
            </w:r>
          </w:p>
          <w:p w:rsidR="0057775D" w:rsidRPr="00314229" w:rsidRDefault="0057775D" w:rsidP="00667FCC">
            <w:pPr>
              <w:rPr>
                <w:rFonts w:cs="Calibri"/>
                <w:color w:val="FF0000"/>
              </w:rPr>
            </w:pPr>
          </w:p>
          <w:p w:rsidR="00667FCC" w:rsidRPr="00314229" w:rsidRDefault="00667FCC" w:rsidP="00667FCC">
            <w:pPr>
              <w:rPr>
                <w:rFonts w:cs="Calibri"/>
                <w:b/>
              </w:rPr>
            </w:pPr>
          </w:p>
          <w:p w:rsidR="00EB6C3B" w:rsidRPr="00314229" w:rsidRDefault="00881CA4" w:rsidP="00E8022D">
            <w:pPr>
              <w:spacing w:after="240"/>
              <w:rPr>
                <w:rFonts w:cstheme="minorHAnsi"/>
                <w:b/>
                <w:sz w:val="24"/>
                <w:szCs w:val="24"/>
                <w:u w:val="single"/>
              </w:rPr>
            </w:pPr>
            <w:r w:rsidRPr="00314229">
              <w:rPr>
                <w:rFonts w:cs="Calibri"/>
                <w:b/>
              </w:rPr>
              <w:fldChar w:fldCharType="begin">
                <w:ffData>
                  <w:name w:val="topmostSubform[0].Pa"/>
                  <w:enabled/>
                  <w:calcOnExit w:val="0"/>
                  <w:textInput/>
                </w:ffData>
              </w:fldChar>
            </w:r>
            <w:r w:rsidRPr="00314229">
              <w:rPr>
                <w:rFonts w:cs="Calibri"/>
                <w:b/>
              </w:rPr>
              <w:instrText xml:space="preserve"> FORMTEXT </w:instrText>
            </w:r>
            <w:r w:rsidRPr="00314229">
              <w:rPr>
                <w:rFonts w:cs="Calibri"/>
                <w:b/>
              </w:rPr>
            </w:r>
            <w:r w:rsidRPr="00314229">
              <w:rPr>
                <w:rFonts w:cs="Calibri"/>
                <w:b/>
              </w:rPr>
              <w:fldChar w:fldCharType="end"/>
            </w:r>
            <w:r w:rsidRPr="00314229">
              <w:rPr>
                <w:rFonts w:cs="Calibri"/>
                <w:b/>
              </w:rPr>
              <w:fldChar w:fldCharType="begin">
                <w:ffData>
                  <w:name w:val="topmostSubform[0].Pa"/>
                  <w:enabled/>
                  <w:calcOnExit w:val="0"/>
                  <w:textInput/>
                </w:ffData>
              </w:fldChar>
            </w:r>
            <w:r w:rsidRPr="00314229">
              <w:rPr>
                <w:rFonts w:cs="Calibri"/>
                <w:b/>
              </w:rPr>
              <w:instrText xml:space="preserve"> FORMTEXT </w:instrText>
            </w:r>
            <w:r w:rsidRPr="00314229">
              <w:rPr>
                <w:rFonts w:cs="Calibri"/>
                <w:b/>
              </w:rPr>
            </w:r>
            <w:r w:rsidRPr="00314229">
              <w:rPr>
                <w:rFonts w:cs="Calibri"/>
                <w:b/>
              </w:rPr>
              <w:fldChar w:fldCharType="end"/>
            </w:r>
            <w:r w:rsidRPr="00314229">
              <w:rPr>
                <w:rFonts w:cs="Calibri"/>
                <w:b/>
              </w:rPr>
              <w:fldChar w:fldCharType="begin">
                <w:ffData>
                  <w:name w:val="topmostSubform[0].Pa"/>
                  <w:enabled/>
                  <w:calcOnExit w:val="0"/>
                  <w:textInput/>
                </w:ffData>
              </w:fldChar>
            </w:r>
            <w:r w:rsidRPr="00314229">
              <w:rPr>
                <w:rFonts w:cs="Calibri"/>
                <w:b/>
              </w:rPr>
              <w:instrText xml:space="preserve"> FORMTEXT </w:instrText>
            </w:r>
            <w:r w:rsidRPr="00314229">
              <w:rPr>
                <w:rFonts w:cs="Calibri"/>
                <w:b/>
              </w:rPr>
            </w:r>
            <w:r w:rsidRPr="00314229">
              <w:rPr>
                <w:rFonts w:cs="Calibri"/>
                <w:b/>
              </w:rPr>
              <w:fldChar w:fldCharType="end"/>
            </w:r>
            <w:r w:rsidRPr="00314229">
              <w:rPr>
                <w:rFonts w:cs="Calibri"/>
                <w:b/>
              </w:rPr>
              <w:fldChar w:fldCharType="begin">
                <w:ffData>
                  <w:name w:val="topmostSubform[0].Pa"/>
                  <w:enabled/>
                  <w:calcOnExit w:val="0"/>
                  <w:textInput/>
                </w:ffData>
              </w:fldChar>
            </w:r>
            <w:r w:rsidRPr="00314229">
              <w:rPr>
                <w:rFonts w:cs="Calibri"/>
                <w:b/>
              </w:rPr>
              <w:instrText xml:space="preserve"> FORMTEXT </w:instrText>
            </w:r>
            <w:r w:rsidRPr="00314229">
              <w:rPr>
                <w:rFonts w:cs="Calibri"/>
                <w:b/>
              </w:rPr>
            </w:r>
            <w:r w:rsidRPr="00314229">
              <w:rPr>
                <w:rFonts w:cs="Calibri"/>
                <w:b/>
              </w:rPr>
              <w:fldChar w:fldCharType="end"/>
            </w:r>
            <w:r w:rsidRPr="00314229">
              <w:rPr>
                <w:b/>
              </w:rPr>
              <w:fldChar w:fldCharType="begin">
                <w:ffData>
                  <w:name w:val="topmostSubform[0].Pa"/>
                  <w:enabled/>
                  <w:calcOnExit w:val="0"/>
                  <w:textInput/>
                </w:ffData>
              </w:fldChar>
            </w:r>
            <w:r w:rsidRPr="00314229">
              <w:rPr>
                <w:b/>
              </w:rPr>
              <w:instrText xml:space="preserve"> FORMTEXT </w:instrText>
            </w:r>
            <w:r w:rsidRPr="00314229">
              <w:rPr>
                <w:b/>
              </w:rPr>
            </w:r>
            <w:r w:rsidRPr="00314229">
              <w:rPr>
                <w:b/>
              </w:rPr>
              <w:fldChar w:fldCharType="end"/>
            </w:r>
            <w:r w:rsidRPr="00314229">
              <w:rPr>
                <w:b/>
              </w:rPr>
              <w:fldChar w:fldCharType="begin">
                <w:ffData>
                  <w:name w:val="topmostSubform[0].Pa"/>
                  <w:enabled/>
                  <w:calcOnExit w:val="0"/>
                  <w:textInput/>
                </w:ffData>
              </w:fldChar>
            </w:r>
            <w:r w:rsidRPr="00314229">
              <w:rPr>
                <w:b/>
              </w:rPr>
              <w:instrText xml:space="preserve"> FORMTEXT </w:instrText>
            </w:r>
            <w:r w:rsidRPr="00314229">
              <w:rPr>
                <w:b/>
              </w:rPr>
            </w:r>
            <w:r w:rsidRPr="00314229">
              <w:rPr>
                <w:b/>
              </w:rPr>
              <w:fldChar w:fldCharType="end"/>
            </w:r>
            <w:r w:rsidRPr="00314229">
              <w:rPr>
                <w:b/>
              </w:rPr>
              <w:fldChar w:fldCharType="begin">
                <w:ffData>
                  <w:name w:val="topmostSubform[0].Pa"/>
                  <w:enabled/>
                  <w:calcOnExit w:val="0"/>
                  <w:textInput/>
                </w:ffData>
              </w:fldChar>
            </w:r>
            <w:r w:rsidRPr="00314229">
              <w:rPr>
                <w:b/>
              </w:rPr>
              <w:instrText xml:space="preserve"> FORMTEXT </w:instrText>
            </w:r>
            <w:r w:rsidRPr="00314229">
              <w:rPr>
                <w:b/>
              </w:rPr>
            </w:r>
            <w:r w:rsidRPr="00314229">
              <w:rPr>
                <w:b/>
              </w:rPr>
              <w:fldChar w:fldCharType="end"/>
            </w:r>
            <w:r w:rsidRPr="00314229">
              <w:rPr>
                <w:b/>
              </w:rPr>
              <w:fldChar w:fldCharType="begin">
                <w:ffData>
                  <w:name w:val="topmostSubform[0].Pa"/>
                  <w:enabled/>
                  <w:calcOnExit w:val="0"/>
                  <w:textInput/>
                </w:ffData>
              </w:fldChar>
            </w:r>
            <w:r w:rsidRPr="00314229">
              <w:rPr>
                <w:b/>
              </w:rPr>
              <w:instrText xml:space="preserve"> FORMTEXT </w:instrText>
            </w:r>
            <w:r w:rsidRPr="00314229">
              <w:rPr>
                <w:b/>
              </w:rPr>
            </w:r>
            <w:r w:rsidRPr="00314229">
              <w:rPr>
                <w:b/>
              </w:rPr>
              <w:fldChar w:fldCharType="end"/>
            </w:r>
            <w:r w:rsidR="00EB6C3B" w:rsidRPr="00314229">
              <w:rPr>
                <w:rFonts w:cstheme="minorHAnsi"/>
                <w:b/>
                <w:sz w:val="24"/>
                <w:szCs w:val="24"/>
                <w:u w:val="single"/>
              </w:rPr>
              <w:t xml:space="preserve">Please describe the percentage completion for each of the major </w:t>
            </w:r>
            <w:r w:rsidR="00235209" w:rsidRPr="00314229">
              <w:rPr>
                <w:rFonts w:cstheme="minorHAnsi"/>
                <w:b/>
                <w:sz w:val="24"/>
                <w:szCs w:val="24"/>
                <w:u w:val="single"/>
              </w:rPr>
              <w:t xml:space="preserve">task categories identified in your negotiated </w:t>
            </w:r>
            <w:proofErr w:type="spellStart"/>
            <w:r w:rsidR="00235209" w:rsidRPr="00314229">
              <w:rPr>
                <w:rFonts w:cstheme="minorHAnsi"/>
                <w:b/>
                <w:sz w:val="24"/>
                <w:szCs w:val="24"/>
                <w:u w:val="single"/>
              </w:rPr>
              <w:t>workplan</w:t>
            </w:r>
            <w:proofErr w:type="spellEnd"/>
            <w:r w:rsidR="00235209" w:rsidRPr="00314229">
              <w:rPr>
                <w:rFonts w:cstheme="minorHAnsi"/>
                <w:b/>
                <w:sz w:val="24"/>
                <w:szCs w:val="24"/>
                <w:u w:val="single"/>
              </w:rPr>
              <w:t>.</w:t>
            </w:r>
          </w:p>
          <w:p w:rsidR="00F320F4" w:rsidRPr="00314229" w:rsidRDefault="00F320F4" w:rsidP="00F320F4">
            <w:pPr>
              <w:rPr>
                <w:rFonts w:cstheme="minorHAnsi"/>
                <w:b/>
                <w:sz w:val="24"/>
                <w:szCs w:val="24"/>
                <w:u w:val="single"/>
              </w:rPr>
            </w:pPr>
          </w:p>
          <w:p w:rsidR="00F320F4" w:rsidRPr="00314229" w:rsidRDefault="00F320F4" w:rsidP="00F320F4">
            <w:pPr>
              <w:tabs>
                <w:tab w:val="left" w:pos="440"/>
                <w:tab w:val="left" w:pos="5760"/>
                <w:tab w:val="left" w:pos="8098"/>
              </w:tabs>
              <w:rPr>
                <w:rFonts w:eastAsia="Times New Roman" w:cs="Calibri"/>
                <w:b/>
                <w:bCs/>
                <w:color w:val="000000"/>
              </w:rPr>
            </w:pPr>
            <w:r w:rsidRPr="00314229">
              <w:rPr>
                <w:rFonts w:eastAsia="Times New Roman" w:cs="Calibri"/>
                <w:b/>
                <w:bCs/>
                <w:color w:val="000000"/>
              </w:rPr>
              <w:t>Task</w:t>
            </w:r>
            <w:r w:rsidRPr="00314229">
              <w:rPr>
                <w:rFonts w:eastAsia="Times New Roman" w:cs="Calibri"/>
                <w:b/>
                <w:bCs/>
                <w:color w:val="000000"/>
              </w:rPr>
              <w:tab/>
              <w:t>Activity Description</w:t>
            </w:r>
            <w:r w:rsidRPr="00314229">
              <w:rPr>
                <w:rFonts w:eastAsia="Times New Roman" w:cs="Calibri"/>
                <w:b/>
                <w:bCs/>
                <w:color w:val="000000"/>
              </w:rPr>
              <w:tab/>
              <w:t>Percent complete</w:t>
            </w:r>
          </w:p>
          <w:p w:rsidR="004C07D7" w:rsidRPr="00314229" w:rsidRDefault="004C07D7" w:rsidP="00F320F4">
            <w:pPr>
              <w:tabs>
                <w:tab w:val="left" w:pos="440"/>
                <w:tab w:val="left" w:pos="5760"/>
                <w:tab w:val="left" w:pos="8098"/>
              </w:tabs>
              <w:rPr>
                <w:rFonts w:eastAsia="Times New Roman" w:cs="Calibri"/>
                <w:color w:val="000000"/>
              </w:rPr>
            </w:pP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A</w:t>
            </w:r>
            <w:r w:rsidRPr="00314229">
              <w:rPr>
                <w:rFonts w:eastAsia="Times New Roman" w:cs="Calibri"/>
                <w:color w:val="000000"/>
              </w:rPr>
              <w:tab/>
            </w:r>
            <w:r w:rsidRPr="00314229">
              <w:rPr>
                <w:rFonts w:eastAsia="Times New Roman" w:cs="Calibri"/>
              </w:rPr>
              <w:t xml:space="preserve">Enhancement of Existing Plans to Produce </w:t>
            </w:r>
            <w:r w:rsidR="004C07D7" w:rsidRPr="00314229">
              <w:rPr>
                <w:rFonts w:eastAsia="Times New Roman" w:cs="Calibri"/>
              </w:rPr>
              <w:t xml:space="preserve">Implementation </w:t>
            </w:r>
            <w:r w:rsidRPr="00314229">
              <w:rPr>
                <w:rFonts w:eastAsia="Times New Roman" w:cs="Calibri"/>
              </w:rPr>
              <w:t xml:space="preserve"> Plan for Regional Sustain</w:t>
            </w:r>
            <w:r w:rsidR="00F16B49" w:rsidRPr="00314229">
              <w:rPr>
                <w:rFonts w:eastAsia="Times New Roman" w:cs="Calibri"/>
              </w:rPr>
              <w:t xml:space="preserve">able Development </w:t>
            </w:r>
            <w:r w:rsidR="004C07D7" w:rsidRPr="00314229">
              <w:rPr>
                <w:rFonts w:eastAsia="Times New Roman" w:cs="Calibri"/>
              </w:rPr>
              <w:t>100</w:t>
            </w:r>
            <w:r w:rsidR="00F16B49"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B</w:t>
            </w:r>
            <w:r w:rsidRPr="00314229">
              <w:rPr>
                <w:rFonts w:eastAsia="Times New Roman" w:cs="Calibri"/>
                <w:color w:val="000000"/>
              </w:rPr>
              <w:tab/>
            </w:r>
            <w:r w:rsidRPr="00314229">
              <w:rPr>
                <w:rFonts w:eastAsia="Times New Roman" w:cs="Calibri"/>
              </w:rPr>
              <w:t>Regional Public Engagement and Knowledge Shar</w:t>
            </w:r>
            <w:r w:rsidR="00F16B49" w:rsidRPr="00314229">
              <w:rPr>
                <w:rFonts w:eastAsia="Times New Roman" w:cs="Calibri"/>
              </w:rPr>
              <w:t>ing</w:t>
            </w:r>
            <w:r w:rsidR="00F16B49" w:rsidRPr="00314229">
              <w:rPr>
                <w:rFonts w:eastAsia="Times New Roman" w:cs="Calibri"/>
              </w:rPr>
              <w:tab/>
            </w:r>
            <w:r w:rsidR="004C07D7" w:rsidRPr="00314229">
              <w:rPr>
                <w:rFonts w:eastAsia="Times New Roman" w:cs="Calibri"/>
              </w:rPr>
              <w:t>100</w:t>
            </w:r>
            <w:r w:rsidR="00F16B49"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C</w:t>
            </w:r>
            <w:r w:rsidRPr="00314229">
              <w:rPr>
                <w:rFonts w:eastAsia="Times New Roman" w:cs="Calibri"/>
                <w:color w:val="000000"/>
              </w:rPr>
              <w:tab/>
            </w:r>
            <w:r w:rsidRPr="00314229">
              <w:rPr>
                <w:rFonts w:eastAsia="Times New Roman" w:cs="Calibri"/>
              </w:rPr>
              <w:t>Regional Housing Analysis and Incentive Fund</w:t>
            </w:r>
            <w:r w:rsidRPr="00314229">
              <w:rPr>
                <w:rFonts w:eastAsia="Times New Roman" w:cs="Calibri"/>
              </w:rPr>
              <w:tab/>
            </w:r>
            <w:r w:rsidR="004C07D7" w:rsidRPr="00314229">
              <w:rPr>
                <w:rFonts w:eastAsia="Times New Roman" w:cs="Calibri"/>
              </w:rPr>
              <w:t>100</w:t>
            </w:r>
            <w:r w:rsidR="00F16B49"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D</w:t>
            </w:r>
            <w:r w:rsidRPr="00314229">
              <w:rPr>
                <w:rFonts w:eastAsia="Times New Roman" w:cs="Calibri"/>
                <w:color w:val="000000"/>
              </w:rPr>
              <w:tab/>
            </w:r>
            <w:r w:rsidRPr="00314229">
              <w:rPr>
                <w:rFonts w:eastAsia="Times New Roman" w:cs="Calibri"/>
              </w:rPr>
              <w:t>Long Island Housing Strategy</w:t>
            </w:r>
            <w:r w:rsidRPr="00314229">
              <w:rPr>
                <w:rFonts w:eastAsia="Times New Roman" w:cs="Calibri"/>
              </w:rPr>
              <w:tab/>
            </w:r>
            <w:r w:rsidR="004C07D7" w:rsidRPr="00314229">
              <w:rPr>
                <w:rFonts w:eastAsia="Times New Roman" w:cs="Calibri"/>
              </w:rPr>
              <w:t>100</w:t>
            </w:r>
            <w:r w:rsidR="00F16B49"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E</w:t>
            </w:r>
            <w:r w:rsidRPr="00314229">
              <w:rPr>
                <w:rFonts w:eastAsia="Times New Roman" w:cs="Calibri"/>
                <w:color w:val="000000"/>
              </w:rPr>
              <w:tab/>
            </w:r>
            <w:r w:rsidRPr="00314229">
              <w:rPr>
                <w:rFonts w:eastAsia="Times New Roman" w:cs="Calibri"/>
              </w:rPr>
              <w:t>Building Climate Resilience</w:t>
            </w:r>
            <w:r w:rsidRPr="00314229">
              <w:rPr>
                <w:rFonts w:eastAsia="Times New Roman" w:cs="Calibri"/>
              </w:rPr>
              <w:tab/>
            </w:r>
            <w:r w:rsidR="00F16B49" w:rsidRPr="00314229">
              <w:rPr>
                <w:rFonts w:eastAsia="Times New Roman" w:cs="Calibri"/>
              </w:rPr>
              <w:t>100%</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F</w:t>
            </w:r>
            <w:r w:rsidRPr="00314229">
              <w:rPr>
                <w:rFonts w:eastAsia="Times New Roman" w:cs="Calibri"/>
                <w:color w:val="000000"/>
              </w:rPr>
              <w:tab/>
            </w:r>
            <w:r w:rsidRPr="00314229">
              <w:rPr>
                <w:rFonts w:eastAsia="Times New Roman" w:cs="Calibri"/>
              </w:rPr>
              <w:t>Advance transit-oriented development around New Haven's Union Station</w:t>
            </w:r>
            <w:r w:rsidR="00F16B49" w:rsidRPr="00314229">
              <w:rPr>
                <w:rFonts w:eastAsia="Times New Roman" w:cs="Calibri"/>
              </w:rPr>
              <w:t xml:space="preserve">      100%</w:t>
            </w:r>
            <w:r w:rsidRPr="00314229">
              <w:rPr>
                <w:rFonts w:eastAsia="Times New Roman" w:cs="Calibri"/>
              </w:rPr>
              <w:tab/>
            </w:r>
            <w:r w:rsidR="00F16B49" w:rsidRPr="00314229">
              <w:rPr>
                <w:rFonts w:eastAsia="Times New Roman" w:cs="Calibri"/>
              </w:rPr>
              <w:tab/>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G</w:t>
            </w:r>
            <w:r w:rsidRPr="00314229">
              <w:rPr>
                <w:rFonts w:eastAsia="Times New Roman" w:cs="Calibri"/>
                <w:color w:val="000000"/>
              </w:rPr>
              <w:tab/>
            </w:r>
            <w:r w:rsidRPr="00314229">
              <w:rPr>
                <w:rFonts w:eastAsia="Times New Roman" w:cs="Calibri"/>
              </w:rPr>
              <w:t>Advance Transit-Oriented Development Around Bridgeport's Barnum Train Station</w:t>
            </w:r>
            <w:r w:rsidRPr="00314229">
              <w:rPr>
                <w:rFonts w:eastAsia="Times New Roman" w:cs="Calibri"/>
              </w:rPr>
              <w:tab/>
            </w:r>
            <w:r w:rsidRPr="00314229">
              <w:rPr>
                <w:rFonts w:eastAsia="Times New Roman" w:cs="Calibri"/>
              </w:rPr>
              <w:tab/>
            </w:r>
            <w:r w:rsidRPr="00314229">
              <w:rPr>
                <w:rFonts w:eastAsia="Times New Roman" w:cs="Calibri"/>
              </w:rPr>
              <w:tab/>
              <w:t>100%</w:t>
            </w:r>
          </w:p>
          <w:p w:rsidR="00F320F4" w:rsidRPr="00314229" w:rsidRDefault="00F320F4" w:rsidP="00F320F4">
            <w:pPr>
              <w:tabs>
                <w:tab w:val="left" w:pos="440"/>
                <w:tab w:val="left" w:pos="5760"/>
                <w:tab w:val="left" w:pos="8098"/>
              </w:tabs>
              <w:rPr>
                <w:rFonts w:eastAsia="Times New Roman" w:cs="Calibri"/>
                <w:highlight w:val="yellow"/>
              </w:rPr>
            </w:pPr>
            <w:r w:rsidRPr="00314229">
              <w:rPr>
                <w:rFonts w:eastAsia="Times New Roman" w:cs="Calibri"/>
                <w:color w:val="000000"/>
              </w:rPr>
              <w:t>H</w:t>
            </w:r>
            <w:r w:rsidRPr="00314229">
              <w:rPr>
                <w:rFonts w:eastAsia="Times New Roman" w:cs="Calibri"/>
                <w:color w:val="000000"/>
              </w:rPr>
              <w:tab/>
            </w:r>
            <w:r w:rsidRPr="00314229">
              <w:rPr>
                <w:rFonts w:eastAsia="Times New Roman" w:cs="Calibri"/>
              </w:rPr>
              <w:t>Implement the TOD Master Plan for South Norwalk</w:t>
            </w:r>
            <w:r w:rsidR="00F16B49" w:rsidRPr="00314229">
              <w:rPr>
                <w:rFonts w:eastAsia="Times New Roman" w:cs="Calibri"/>
              </w:rPr>
              <w:t xml:space="preserve"> Railroad Station Neighborhood</w:t>
            </w:r>
            <w:r w:rsidR="00F16B49" w:rsidRPr="00314229">
              <w:rPr>
                <w:rFonts w:eastAsia="Times New Roman" w:cs="Calibri"/>
              </w:rPr>
              <w:tab/>
              <w:t xml:space="preserve"> </w:t>
            </w:r>
            <w:r w:rsidR="004C07D7" w:rsidRPr="00314229">
              <w:rPr>
                <w:rFonts w:eastAsia="Times New Roman" w:cs="Calibri"/>
              </w:rPr>
              <w:t>100</w:t>
            </w:r>
            <w:r w:rsidR="00F16B49"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I</w:t>
            </w:r>
            <w:r w:rsidRPr="00314229">
              <w:rPr>
                <w:rFonts w:eastAsia="Times New Roman" w:cs="Calibri"/>
                <w:color w:val="000000"/>
              </w:rPr>
              <w:tab/>
            </w:r>
            <w:r w:rsidRPr="00314229">
              <w:rPr>
                <w:rFonts w:eastAsia="Times New Roman" w:cs="Calibri"/>
              </w:rPr>
              <w:t>Stamford East Side Train Station Feasibility Study</w:t>
            </w:r>
            <w:r w:rsidRPr="00314229">
              <w:rPr>
                <w:rFonts w:eastAsia="Times New Roman" w:cs="Calibri"/>
              </w:rPr>
              <w:tab/>
            </w:r>
            <w:r w:rsidR="00F16B49" w:rsidRPr="00314229">
              <w:rPr>
                <w:rFonts w:eastAsia="Times New Roman" w:cs="Calibri"/>
              </w:rPr>
              <w:t>100</w:t>
            </w:r>
            <w:r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J</w:t>
            </w:r>
            <w:r w:rsidRPr="00314229">
              <w:rPr>
                <w:rFonts w:eastAsia="Times New Roman" w:cs="Calibri"/>
                <w:color w:val="000000"/>
              </w:rPr>
              <w:tab/>
            </w:r>
            <w:r w:rsidRPr="00314229">
              <w:rPr>
                <w:rFonts w:eastAsia="Times New Roman" w:cs="Calibri"/>
              </w:rPr>
              <w:t>TOD Smart Growth Initiative in New Rochelle</w:t>
            </w:r>
            <w:r w:rsidRPr="00314229">
              <w:rPr>
                <w:rFonts w:eastAsia="Times New Roman" w:cs="Calibri"/>
              </w:rPr>
              <w:tab/>
            </w:r>
            <w:r w:rsidR="00F16B49" w:rsidRPr="00314229">
              <w:rPr>
                <w:rFonts w:eastAsia="Times New Roman" w:cs="Calibri"/>
              </w:rPr>
              <w:t>100</w:t>
            </w:r>
            <w:r w:rsidRPr="00314229">
              <w:rPr>
                <w:rFonts w:eastAsia="Times New Roman" w:cs="Calibri"/>
              </w:rPr>
              <w:t>%</w:t>
            </w:r>
          </w:p>
          <w:p w:rsidR="00F320F4" w:rsidRPr="00314229" w:rsidRDefault="00F320F4" w:rsidP="00F320F4">
            <w:pPr>
              <w:tabs>
                <w:tab w:val="left" w:pos="440"/>
                <w:tab w:val="left" w:pos="5760"/>
              </w:tabs>
              <w:rPr>
                <w:rFonts w:eastAsia="Times New Roman" w:cs="Calibri"/>
              </w:rPr>
            </w:pPr>
            <w:r w:rsidRPr="00314229">
              <w:rPr>
                <w:rFonts w:eastAsia="Times New Roman" w:cs="Calibri"/>
                <w:color w:val="000000"/>
              </w:rPr>
              <w:t>K</w:t>
            </w:r>
            <w:r w:rsidRPr="00314229">
              <w:rPr>
                <w:rFonts w:eastAsia="Times New Roman" w:cs="Calibri"/>
                <w:color w:val="000000"/>
              </w:rPr>
              <w:tab/>
            </w:r>
            <w:r w:rsidRPr="00314229">
              <w:rPr>
                <w:rFonts w:eastAsia="Times New Roman" w:cs="Calibri"/>
              </w:rPr>
              <w:t xml:space="preserve">Metro-North Station Study (Bronx) </w:t>
            </w:r>
            <w:r w:rsidRPr="00314229">
              <w:rPr>
                <w:rFonts w:eastAsia="Times New Roman" w:cs="Calibri"/>
              </w:rPr>
              <w:tab/>
            </w:r>
            <w:r w:rsidR="004C07D7" w:rsidRPr="00314229">
              <w:rPr>
                <w:rFonts w:eastAsia="Times New Roman" w:cs="Calibri"/>
              </w:rPr>
              <w:t>100</w:t>
            </w:r>
            <w:r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L</w:t>
            </w:r>
            <w:r w:rsidRPr="00314229">
              <w:rPr>
                <w:rFonts w:eastAsia="Times New Roman" w:cs="Calibri"/>
                <w:color w:val="000000"/>
              </w:rPr>
              <w:tab/>
            </w:r>
            <w:r w:rsidRPr="00314229">
              <w:rPr>
                <w:rFonts w:eastAsia="Times New Roman" w:cs="Calibri"/>
              </w:rPr>
              <w:t>Sustainable East New York</w:t>
            </w:r>
            <w:r w:rsidRPr="00314229">
              <w:rPr>
                <w:rFonts w:eastAsia="Times New Roman" w:cs="Calibri"/>
              </w:rPr>
              <w:tab/>
            </w:r>
            <w:r w:rsidR="004C07D7" w:rsidRPr="00314229">
              <w:rPr>
                <w:rFonts w:eastAsia="Times New Roman" w:cs="Calibri"/>
              </w:rPr>
              <w:t>100</w:t>
            </w:r>
            <w:r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M</w:t>
            </w:r>
            <w:r w:rsidRPr="00314229">
              <w:rPr>
                <w:rFonts w:eastAsia="Times New Roman" w:cs="Calibri"/>
                <w:color w:val="000000"/>
              </w:rPr>
              <w:tab/>
            </w:r>
            <w:r w:rsidRPr="00314229">
              <w:rPr>
                <w:rFonts w:eastAsia="Times New Roman" w:cs="Calibri"/>
              </w:rPr>
              <w:t>Nassau County Infill Redevelopment Feasibility Study</w:t>
            </w:r>
            <w:r w:rsidRPr="00314229">
              <w:rPr>
                <w:rFonts w:eastAsia="Times New Roman" w:cs="Calibri"/>
              </w:rPr>
              <w:tab/>
            </w:r>
            <w:r w:rsidR="004C07D7" w:rsidRPr="00314229">
              <w:rPr>
                <w:rFonts w:eastAsia="Times New Roman" w:cs="Calibri"/>
              </w:rPr>
              <w:t>100</w:t>
            </w:r>
            <w:r w:rsidR="000349DC" w:rsidRPr="00314229">
              <w:rPr>
                <w:rFonts w:eastAsia="Times New Roman" w:cs="Calibri"/>
              </w:rPr>
              <w:t>%</w:t>
            </w:r>
          </w:p>
          <w:p w:rsidR="00F320F4" w:rsidRPr="00314229" w:rsidRDefault="00F320F4" w:rsidP="00F320F4">
            <w:pPr>
              <w:tabs>
                <w:tab w:val="left" w:pos="440"/>
                <w:tab w:val="left" w:pos="5760"/>
                <w:tab w:val="left" w:pos="8098"/>
              </w:tabs>
              <w:rPr>
                <w:rFonts w:eastAsia="Times New Roman" w:cs="Calibri"/>
              </w:rPr>
            </w:pPr>
            <w:r w:rsidRPr="00314229">
              <w:rPr>
                <w:rFonts w:eastAsia="Times New Roman" w:cs="Calibri"/>
                <w:color w:val="000000"/>
              </w:rPr>
              <w:t>N</w:t>
            </w:r>
            <w:r w:rsidRPr="00314229">
              <w:rPr>
                <w:rFonts w:eastAsia="Times New Roman" w:cs="Calibri"/>
                <w:color w:val="000000"/>
              </w:rPr>
              <w:tab/>
            </w:r>
            <w:r w:rsidRPr="00314229">
              <w:rPr>
                <w:rFonts w:eastAsia="Times New Roman" w:cs="Calibri"/>
              </w:rPr>
              <w:t>Suffolk County Transfer of Development Rights (TDR) Study</w:t>
            </w:r>
            <w:r w:rsidR="004C07D7" w:rsidRPr="00314229">
              <w:rPr>
                <w:rFonts w:eastAsia="Times New Roman" w:cs="Calibri"/>
              </w:rPr>
              <w:t>100</w:t>
            </w:r>
            <w:r w:rsidR="00CF4545" w:rsidRPr="00314229">
              <w:rPr>
                <w:rFonts w:eastAsia="Times New Roman" w:cs="Calibri"/>
              </w:rPr>
              <w:t>%</w:t>
            </w:r>
          </w:p>
          <w:p w:rsidR="00F320F4" w:rsidRPr="00314229" w:rsidRDefault="00F320F4" w:rsidP="00F320F4">
            <w:pPr>
              <w:rPr>
                <w:rFonts w:cstheme="minorHAnsi"/>
                <w:b/>
                <w:sz w:val="24"/>
                <w:szCs w:val="24"/>
                <w:u w:val="single"/>
              </w:rPr>
            </w:pPr>
          </w:p>
          <w:p w:rsidR="00841657" w:rsidRPr="00314229" w:rsidRDefault="00841657" w:rsidP="00F320F4">
            <w:pPr>
              <w:rPr>
                <w:rFonts w:cstheme="minorHAnsi"/>
                <w:b/>
                <w:sz w:val="24"/>
                <w:szCs w:val="24"/>
                <w:u w:val="single"/>
              </w:rPr>
            </w:pPr>
          </w:p>
          <w:p w:rsidR="00F320F4" w:rsidRPr="00314229" w:rsidRDefault="00F320F4" w:rsidP="009245AE">
            <w:pPr>
              <w:rPr>
                <w:rFonts w:cstheme="minorHAnsi"/>
                <w:b/>
                <w:sz w:val="24"/>
                <w:szCs w:val="24"/>
              </w:rPr>
            </w:pPr>
          </w:p>
          <w:p w:rsidR="009245AE" w:rsidRPr="00314229" w:rsidRDefault="009245AE" w:rsidP="005A6C99">
            <w:pPr>
              <w:rPr>
                <w:rFonts w:cstheme="minorHAnsi"/>
                <w:b/>
                <w:sz w:val="24"/>
                <w:szCs w:val="24"/>
                <w:u w:val="single"/>
              </w:rPr>
            </w:pPr>
            <w:r w:rsidRPr="00314229">
              <w:rPr>
                <w:rFonts w:cstheme="minorHAnsi"/>
                <w:b/>
                <w:sz w:val="24"/>
                <w:szCs w:val="24"/>
                <w:u w:val="single"/>
              </w:rPr>
              <w:t>P</w:t>
            </w:r>
            <w:r w:rsidR="00EB6C3B" w:rsidRPr="00314229">
              <w:rPr>
                <w:rFonts w:cstheme="minorHAnsi"/>
                <w:b/>
                <w:sz w:val="24"/>
                <w:szCs w:val="24"/>
                <w:u w:val="single"/>
              </w:rPr>
              <w:t>lease describe your p</w:t>
            </w:r>
            <w:r w:rsidRPr="00314229">
              <w:rPr>
                <w:rFonts w:cstheme="minorHAnsi"/>
                <w:b/>
                <w:sz w:val="24"/>
                <w:szCs w:val="24"/>
                <w:u w:val="single"/>
              </w:rPr>
              <w:t xml:space="preserve">rogress with </w:t>
            </w:r>
            <w:r w:rsidR="00EB6C3B" w:rsidRPr="00314229">
              <w:rPr>
                <w:rFonts w:cstheme="minorHAnsi"/>
                <w:b/>
                <w:sz w:val="24"/>
                <w:szCs w:val="24"/>
                <w:u w:val="single"/>
              </w:rPr>
              <w:t>c</w:t>
            </w:r>
            <w:r w:rsidRPr="00314229">
              <w:rPr>
                <w:rFonts w:cstheme="minorHAnsi"/>
                <w:b/>
                <w:sz w:val="24"/>
                <w:szCs w:val="24"/>
                <w:u w:val="single"/>
              </w:rPr>
              <w:t>ontract</w:t>
            </w:r>
            <w:r w:rsidR="00EB6C3B" w:rsidRPr="00314229">
              <w:rPr>
                <w:rFonts w:cstheme="minorHAnsi"/>
                <w:b/>
                <w:sz w:val="24"/>
                <w:szCs w:val="24"/>
                <w:u w:val="single"/>
              </w:rPr>
              <w:t xml:space="preserve"> and s</w:t>
            </w:r>
            <w:r w:rsidRPr="00314229">
              <w:rPr>
                <w:rFonts w:cstheme="minorHAnsi"/>
                <w:b/>
                <w:sz w:val="24"/>
                <w:szCs w:val="24"/>
                <w:u w:val="single"/>
              </w:rPr>
              <w:t xml:space="preserve">ub-award </w:t>
            </w:r>
            <w:r w:rsidR="00EB6C3B" w:rsidRPr="00314229">
              <w:rPr>
                <w:rFonts w:cstheme="minorHAnsi"/>
                <w:b/>
                <w:sz w:val="24"/>
                <w:szCs w:val="24"/>
                <w:u w:val="single"/>
              </w:rPr>
              <w:t>m</w:t>
            </w:r>
            <w:r w:rsidRPr="00314229">
              <w:rPr>
                <w:rFonts w:cstheme="minorHAnsi"/>
                <w:b/>
                <w:sz w:val="24"/>
                <w:szCs w:val="24"/>
                <w:u w:val="single"/>
              </w:rPr>
              <w:t>anagement</w:t>
            </w:r>
            <w:r w:rsidR="00EB6C3B" w:rsidRPr="00314229">
              <w:rPr>
                <w:rFonts w:cstheme="minorHAnsi"/>
                <w:b/>
                <w:sz w:val="24"/>
                <w:szCs w:val="24"/>
                <w:u w:val="single"/>
              </w:rPr>
              <w:t>, including any issues you are experiencing or anticipating</w:t>
            </w:r>
            <w:r w:rsidRPr="00314229">
              <w:rPr>
                <w:rFonts w:cstheme="minorHAnsi"/>
                <w:b/>
                <w:sz w:val="24"/>
                <w:szCs w:val="24"/>
                <w:u w:val="single"/>
              </w:rPr>
              <w:t>:</w:t>
            </w:r>
          </w:p>
          <w:p w:rsidR="00094993" w:rsidRPr="00314229" w:rsidRDefault="0000136B" w:rsidP="009245AE">
            <w:pPr>
              <w:rPr>
                <w:rFonts w:cstheme="minorHAnsi"/>
                <w:sz w:val="24"/>
                <w:szCs w:val="24"/>
              </w:rPr>
            </w:pPr>
            <w:r w:rsidRPr="00314229">
              <w:rPr>
                <w:rFonts w:cstheme="minorHAnsi"/>
                <w:sz w:val="24"/>
                <w:szCs w:val="24"/>
              </w:rPr>
              <w:t xml:space="preserve">Four grants were awarded totaling the amount of </w:t>
            </w:r>
            <w:r w:rsidR="00344F38" w:rsidRPr="00314229">
              <w:rPr>
                <w:rFonts w:cstheme="minorHAnsi"/>
                <w:sz w:val="24"/>
                <w:szCs w:val="24"/>
              </w:rPr>
              <w:t xml:space="preserve">$100,000 to four organizations in the region. </w:t>
            </w:r>
            <w:r w:rsidRPr="00314229">
              <w:rPr>
                <w:rFonts w:cstheme="minorHAnsi"/>
                <w:sz w:val="24"/>
                <w:szCs w:val="24"/>
              </w:rPr>
              <w:t xml:space="preserve"> </w:t>
            </w:r>
          </w:p>
          <w:p w:rsidR="00094993" w:rsidRPr="00314229" w:rsidRDefault="00094993" w:rsidP="009245AE">
            <w:pPr>
              <w:rPr>
                <w:rFonts w:cstheme="minorHAnsi"/>
                <w:sz w:val="24"/>
                <w:szCs w:val="24"/>
              </w:rPr>
            </w:pPr>
            <w:r w:rsidRPr="00314229">
              <w:rPr>
                <w:rFonts w:cstheme="minorHAnsi"/>
                <w:sz w:val="24"/>
                <w:szCs w:val="24"/>
              </w:rPr>
              <w:t xml:space="preserve">Bridgeport Housing Authority received $20,000 to advance the first phase of a 540-unit mixed-income development </w:t>
            </w:r>
            <w:r w:rsidR="00344F38" w:rsidRPr="00314229">
              <w:rPr>
                <w:rFonts w:cstheme="minorHAnsi"/>
                <w:sz w:val="24"/>
                <w:szCs w:val="24"/>
              </w:rPr>
              <w:t xml:space="preserve">that that </w:t>
            </w:r>
            <w:r w:rsidRPr="00314229">
              <w:rPr>
                <w:rFonts w:cstheme="minorHAnsi"/>
                <w:sz w:val="24"/>
                <w:szCs w:val="24"/>
              </w:rPr>
              <w:t xml:space="preserve">will replace aging public housing. The site plan for the project was approved by the Bridgeport </w:t>
            </w:r>
            <w:r w:rsidR="00344F38" w:rsidRPr="00314229">
              <w:rPr>
                <w:rFonts w:cstheme="minorHAnsi"/>
                <w:sz w:val="24"/>
                <w:szCs w:val="24"/>
              </w:rPr>
              <w:t>Zoning and P</w:t>
            </w:r>
            <w:r w:rsidRPr="00314229">
              <w:rPr>
                <w:rFonts w:cstheme="minorHAnsi"/>
                <w:sz w:val="24"/>
                <w:szCs w:val="24"/>
              </w:rPr>
              <w:t xml:space="preserve">lanning </w:t>
            </w:r>
            <w:r w:rsidR="00344F38" w:rsidRPr="00314229">
              <w:rPr>
                <w:rFonts w:cstheme="minorHAnsi"/>
                <w:sz w:val="24"/>
                <w:szCs w:val="24"/>
              </w:rPr>
              <w:t>C</w:t>
            </w:r>
            <w:r w:rsidRPr="00314229">
              <w:rPr>
                <w:rFonts w:cstheme="minorHAnsi"/>
                <w:sz w:val="24"/>
                <w:szCs w:val="24"/>
              </w:rPr>
              <w:t xml:space="preserve">ommission in first quarter of 2014. Bridgeport Housing Authority applied for the Nine </w:t>
            </w:r>
            <w:r w:rsidR="00344F38" w:rsidRPr="00314229">
              <w:rPr>
                <w:rFonts w:cstheme="minorHAnsi"/>
                <w:sz w:val="24"/>
                <w:szCs w:val="24"/>
              </w:rPr>
              <w:t>Percent Tax Credit P</w:t>
            </w:r>
            <w:r w:rsidRPr="00314229">
              <w:rPr>
                <w:rFonts w:cstheme="minorHAnsi"/>
                <w:sz w:val="24"/>
                <w:szCs w:val="24"/>
              </w:rPr>
              <w:t>rogram, but didn’t receive approval. The Authority has identified other source</w:t>
            </w:r>
            <w:r w:rsidR="00344F38" w:rsidRPr="00314229">
              <w:rPr>
                <w:rFonts w:cstheme="minorHAnsi"/>
                <w:sz w:val="24"/>
                <w:szCs w:val="24"/>
              </w:rPr>
              <w:t>s of funding to support project, which is</w:t>
            </w:r>
            <w:r w:rsidRPr="00314229">
              <w:rPr>
                <w:rFonts w:cstheme="minorHAnsi"/>
                <w:sz w:val="24"/>
                <w:szCs w:val="24"/>
              </w:rPr>
              <w:t xml:space="preserve"> expect</w:t>
            </w:r>
            <w:r w:rsidR="00344F38" w:rsidRPr="00314229">
              <w:rPr>
                <w:rFonts w:cstheme="minorHAnsi"/>
                <w:sz w:val="24"/>
                <w:szCs w:val="24"/>
              </w:rPr>
              <w:t>ed</w:t>
            </w:r>
            <w:r w:rsidRPr="00314229">
              <w:rPr>
                <w:rFonts w:cstheme="minorHAnsi"/>
                <w:sz w:val="24"/>
                <w:szCs w:val="24"/>
              </w:rPr>
              <w:t xml:space="preserve"> to break ground </w:t>
            </w:r>
            <w:r w:rsidR="00344F38" w:rsidRPr="00314229">
              <w:rPr>
                <w:rFonts w:cstheme="minorHAnsi"/>
                <w:sz w:val="24"/>
                <w:szCs w:val="24"/>
              </w:rPr>
              <w:t>toward</w:t>
            </w:r>
            <w:r w:rsidRPr="00314229">
              <w:rPr>
                <w:rFonts w:cstheme="minorHAnsi"/>
                <w:sz w:val="24"/>
                <w:szCs w:val="24"/>
              </w:rPr>
              <w:t xml:space="preserve"> end of the first quarter </w:t>
            </w:r>
            <w:r w:rsidR="00344F38" w:rsidRPr="00314229">
              <w:rPr>
                <w:rFonts w:cstheme="minorHAnsi"/>
                <w:sz w:val="24"/>
                <w:szCs w:val="24"/>
              </w:rPr>
              <w:t>in</w:t>
            </w:r>
            <w:r w:rsidRPr="00314229">
              <w:rPr>
                <w:rFonts w:cstheme="minorHAnsi"/>
                <w:sz w:val="24"/>
                <w:szCs w:val="24"/>
              </w:rPr>
              <w:t xml:space="preserve"> 2015.</w:t>
            </w:r>
          </w:p>
          <w:p w:rsidR="00094993" w:rsidRPr="00314229" w:rsidRDefault="00094993" w:rsidP="009245AE">
            <w:pPr>
              <w:rPr>
                <w:rFonts w:cstheme="minorHAnsi"/>
                <w:sz w:val="24"/>
                <w:szCs w:val="24"/>
              </w:rPr>
            </w:pPr>
          </w:p>
          <w:p w:rsidR="00094993" w:rsidRPr="00314229" w:rsidRDefault="00094993" w:rsidP="009245AE">
            <w:pPr>
              <w:rPr>
                <w:rFonts w:cstheme="minorHAnsi"/>
                <w:sz w:val="24"/>
                <w:szCs w:val="24"/>
              </w:rPr>
            </w:pPr>
            <w:r w:rsidRPr="00314229">
              <w:rPr>
                <w:rFonts w:cstheme="minorHAnsi"/>
                <w:sz w:val="24"/>
                <w:szCs w:val="24"/>
              </w:rPr>
              <w:t>Cypress Hills Local Development Corporation was awarded $25,000 to advance a mixed-use development of retail and affordable rental housing as part of a neighborhood-wide revitalization initiative for East New York in Brooklyn.</w:t>
            </w:r>
            <w:r w:rsidR="00344F38" w:rsidRPr="00314229">
              <w:rPr>
                <w:rFonts w:cstheme="minorHAnsi"/>
                <w:sz w:val="24"/>
                <w:szCs w:val="24"/>
              </w:rPr>
              <w:t xml:space="preserve"> CHLDC secured additional sources of funding in the amount of $1.5 million from the Brooklyn Borough President’s office and local congressman Rafael L. </w:t>
            </w:r>
            <w:proofErr w:type="spellStart"/>
            <w:r w:rsidR="00344F38" w:rsidRPr="00314229">
              <w:rPr>
                <w:rFonts w:cstheme="minorHAnsi"/>
                <w:sz w:val="24"/>
                <w:szCs w:val="24"/>
              </w:rPr>
              <w:t>Espinal</w:t>
            </w:r>
            <w:proofErr w:type="spellEnd"/>
            <w:r w:rsidR="00344F38" w:rsidRPr="00314229">
              <w:rPr>
                <w:rFonts w:cstheme="minorHAnsi"/>
                <w:sz w:val="24"/>
                <w:szCs w:val="24"/>
              </w:rPr>
              <w:t xml:space="preserve"> Jr. CHLDC will look to apply for a $600,000 grant from the Federal Home Loan Bank of New York and tax credits from HPD and DHCR in the Fall of 2014.  The project is currently out for initial bids and hopes to break ground by December of 2014 with a completion date of Spring 2016.  </w:t>
            </w:r>
          </w:p>
          <w:p w:rsidR="00344F38" w:rsidRPr="00314229" w:rsidRDefault="00344F38" w:rsidP="009245AE">
            <w:pPr>
              <w:rPr>
                <w:rFonts w:cstheme="minorHAnsi"/>
                <w:sz w:val="24"/>
                <w:szCs w:val="24"/>
              </w:rPr>
            </w:pPr>
          </w:p>
          <w:p w:rsidR="008A5DA0" w:rsidRPr="00314229" w:rsidRDefault="00344F38" w:rsidP="009245AE">
            <w:pPr>
              <w:rPr>
                <w:rFonts w:cstheme="minorHAnsi"/>
                <w:sz w:val="24"/>
                <w:szCs w:val="24"/>
              </w:rPr>
            </w:pPr>
            <w:r w:rsidRPr="00314229">
              <w:rPr>
                <w:rFonts w:cstheme="minorHAnsi"/>
                <w:sz w:val="24"/>
                <w:szCs w:val="24"/>
              </w:rPr>
              <w:t>West Side Federation for Senior and Supportive Housing</w:t>
            </w:r>
            <w:r w:rsidR="0024234D" w:rsidRPr="00314229">
              <w:rPr>
                <w:rFonts w:cstheme="minorHAnsi"/>
                <w:sz w:val="24"/>
                <w:szCs w:val="24"/>
              </w:rPr>
              <w:t xml:space="preserve"> (WSFSSH)</w:t>
            </w:r>
            <w:r w:rsidRPr="00314229">
              <w:rPr>
                <w:rFonts w:cstheme="minorHAnsi"/>
                <w:sz w:val="24"/>
                <w:szCs w:val="24"/>
              </w:rPr>
              <w:t xml:space="preserve"> was awarded $25,000 to address pre-development expenses for the </w:t>
            </w:r>
            <w:proofErr w:type="spellStart"/>
            <w:r w:rsidRPr="00314229">
              <w:rPr>
                <w:rFonts w:cstheme="minorHAnsi"/>
                <w:sz w:val="24"/>
                <w:szCs w:val="24"/>
              </w:rPr>
              <w:t>Tres</w:t>
            </w:r>
            <w:proofErr w:type="spellEnd"/>
            <w:r w:rsidRPr="00314229">
              <w:rPr>
                <w:rFonts w:cstheme="minorHAnsi"/>
                <w:sz w:val="24"/>
                <w:szCs w:val="24"/>
              </w:rPr>
              <w:t xml:space="preserve"> </w:t>
            </w:r>
            <w:proofErr w:type="spellStart"/>
            <w:r w:rsidRPr="00314229">
              <w:rPr>
                <w:rFonts w:cstheme="minorHAnsi"/>
                <w:sz w:val="24"/>
                <w:szCs w:val="24"/>
              </w:rPr>
              <w:t>Puentes</w:t>
            </w:r>
            <w:proofErr w:type="spellEnd"/>
            <w:r w:rsidRPr="00314229">
              <w:rPr>
                <w:rFonts w:cstheme="minorHAnsi"/>
                <w:sz w:val="24"/>
                <w:szCs w:val="24"/>
              </w:rPr>
              <w:t xml:space="preserve"> mixed-use development project in the Mott Haven section of the Bronx. WSFSSH plans to submit the formal rezoning request to City Planning and hopes to complete the public review process and gain approval by Spring 2015.  Concurrently, WSFSSH are moving forward with architectural schematic design and have engaged the requisite architectural consultants. The project will break ground in Summer 2015 and to complete construction in Summer 2017. </w:t>
            </w:r>
          </w:p>
          <w:p w:rsidR="008A5DA0" w:rsidRPr="00314229" w:rsidRDefault="008A5DA0" w:rsidP="009245AE">
            <w:pPr>
              <w:rPr>
                <w:rFonts w:cstheme="minorHAnsi"/>
                <w:sz w:val="24"/>
                <w:szCs w:val="24"/>
              </w:rPr>
            </w:pPr>
          </w:p>
          <w:p w:rsidR="00344F38" w:rsidRPr="00314229" w:rsidRDefault="00344F38" w:rsidP="009245AE">
            <w:pPr>
              <w:rPr>
                <w:rFonts w:cstheme="minorHAnsi"/>
                <w:sz w:val="24"/>
                <w:szCs w:val="24"/>
              </w:rPr>
            </w:pPr>
            <w:r w:rsidRPr="00314229">
              <w:rPr>
                <w:rFonts w:cstheme="minorHAnsi"/>
                <w:sz w:val="24"/>
                <w:szCs w:val="24"/>
              </w:rPr>
              <w:t xml:space="preserve">WSFSSH is working to secure $ 1 Million from LISC to cover other predevelopment expenses. They also have commitment from the New York State </w:t>
            </w:r>
            <w:r w:rsidR="0024234D" w:rsidRPr="00314229">
              <w:rPr>
                <w:rFonts w:cstheme="minorHAnsi"/>
                <w:sz w:val="24"/>
                <w:szCs w:val="24"/>
              </w:rPr>
              <w:t>O</w:t>
            </w:r>
            <w:r w:rsidRPr="00314229">
              <w:rPr>
                <w:rFonts w:cstheme="minorHAnsi"/>
                <w:sz w:val="24"/>
                <w:szCs w:val="24"/>
              </w:rPr>
              <w:t xml:space="preserve">ffice of </w:t>
            </w:r>
            <w:r w:rsidR="0024234D" w:rsidRPr="00314229">
              <w:rPr>
                <w:rFonts w:cstheme="minorHAnsi"/>
                <w:sz w:val="24"/>
                <w:szCs w:val="24"/>
              </w:rPr>
              <w:t>M</w:t>
            </w:r>
            <w:r w:rsidRPr="00314229">
              <w:rPr>
                <w:rFonts w:cstheme="minorHAnsi"/>
                <w:sz w:val="24"/>
                <w:szCs w:val="24"/>
              </w:rPr>
              <w:t xml:space="preserve">ental Health to provide capital and operating subsidy for 30 units in the project. </w:t>
            </w:r>
            <w:r w:rsidR="0024234D" w:rsidRPr="00314229">
              <w:rPr>
                <w:rFonts w:cstheme="minorHAnsi"/>
                <w:sz w:val="24"/>
                <w:szCs w:val="24"/>
              </w:rPr>
              <w:t>In August 2014</w:t>
            </w:r>
            <w:r w:rsidRPr="00314229">
              <w:rPr>
                <w:rFonts w:cstheme="minorHAnsi"/>
                <w:sz w:val="24"/>
                <w:szCs w:val="24"/>
              </w:rPr>
              <w:t xml:space="preserve">, the New York City Housing Authority </w:t>
            </w:r>
            <w:r w:rsidR="0024234D" w:rsidRPr="00314229">
              <w:rPr>
                <w:rFonts w:cstheme="minorHAnsi"/>
                <w:sz w:val="24"/>
                <w:szCs w:val="24"/>
              </w:rPr>
              <w:t>committed</w:t>
            </w:r>
            <w:r w:rsidRPr="00314229">
              <w:rPr>
                <w:rFonts w:cstheme="minorHAnsi"/>
                <w:sz w:val="24"/>
                <w:szCs w:val="24"/>
              </w:rPr>
              <w:t>139 project-based vouchers to subsidize rents for the remaining units in project. WSFSSH learned that housing projects very close to transit add significant time, cost, and planning hurdles to successful development.  In their case, their proximity to the subway necessitates MTA structural review and approval of our development plan.  This review process is expected to take 6-8 months, and the MTA is expected to require significant (and costly) structural processes to protect their subway tunnels and platforms.</w:t>
            </w:r>
          </w:p>
          <w:p w:rsidR="00344F38" w:rsidRPr="00314229" w:rsidRDefault="00344F38" w:rsidP="009245AE">
            <w:pPr>
              <w:rPr>
                <w:rFonts w:cstheme="minorHAnsi"/>
                <w:sz w:val="24"/>
                <w:szCs w:val="24"/>
              </w:rPr>
            </w:pPr>
          </w:p>
          <w:p w:rsidR="00C735B0" w:rsidRPr="00314229" w:rsidRDefault="00B46B34" w:rsidP="00C735B0">
            <w:pPr>
              <w:rPr>
                <w:rFonts w:cstheme="minorHAnsi"/>
                <w:sz w:val="24"/>
                <w:szCs w:val="24"/>
              </w:rPr>
            </w:pPr>
            <w:r w:rsidRPr="00314229">
              <w:rPr>
                <w:rFonts w:cstheme="minorHAnsi"/>
                <w:sz w:val="24"/>
                <w:szCs w:val="24"/>
              </w:rPr>
              <w:t xml:space="preserve">Allied Community Enterprises </w:t>
            </w:r>
            <w:r w:rsidR="0000136B" w:rsidRPr="00314229">
              <w:rPr>
                <w:rFonts w:cstheme="minorHAnsi"/>
                <w:sz w:val="24"/>
                <w:szCs w:val="24"/>
              </w:rPr>
              <w:t xml:space="preserve">received $30,000, </w:t>
            </w:r>
            <w:r w:rsidRPr="00314229">
              <w:rPr>
                <w:rFonts w:cstheme="minorHAnsi"/>
                <w:sz w:val="24"/>
                <w:szCs w:val="24"/>
              </w:rPr>
              <w:t>to demonstrate how a decentralized septic system can support sustainable transit-supported development in Croton Falls in northern Westchester County.</w:t>
            </w:r>
            <w:r w:rsidR="00C735B0" w:rsidRPr="00314229">
              <w:rPr>
                <w:rFonts w:cstheme="minorHAnsi"/>
                <w:sz w:val="24"/>
                <w:szCs w:val="24"/>
              </w:rPr>
              <w:t xml:space="preserve"> ACE conducted and successfully completed all deliverables from the RPA grant. These were:</w:t>
            </w:r>
          </w:p>
          <w:p w:rsidR="00C735B0" w:rsidRPr="00314229" w:rsidRDefault="00C735B0" w:rsidP="00C735B0">
            <w:pPr>
              <w:rPr>
                <w:rFonts w:cstheme="minorHAnsi"/>
                <w:sz w:val="24"/>
                <w:szCs w:val="24"/>
              </w:rPr>
            </w:pPr>
          </w:p>
          <w:p w:rsidR="00C735B0" w:rsidRPr="00314229" w:rsidRDefault="00C735B0" w:rsidP="00C735B0">
            <w:pPr>
              <w:pStyle w:val="ListParagraph"/>
              <w:numPr>
                <w:ilvl w:val="0"/>
                <w:numId w:val="25"/>
              </w:numPr>
              <w:autoSpaceDE w:val="0"/>
              <w:autoSpaceDN w:val="0"/>
              <w:adjustRightInd w:val="0"/>
              <w:rPr>
                <w:rFonts w:cstheme="minorHAnsi"/>
                <w:sz w:val="24"/>
                <w:szCs w:val="24"/>
              </w:rPr>
            </w:pPr>
            <w:r w:rsidRPr="00314229">
              <w:rPr>
                <w:rFonts w:cstheme="minorHAnsi"/>
                <w:sz w:val="24"/>
                <w:szCs w:val="24"/>
              </w:rPr>
              <w:t>Survey of the “Mustard House” at 602 Route 22</w:t>
            </w:r>
          </w:p>
          <w:p w:rsidR="00C735B0" w:rsidRPr="00314229" w:rsidRDefault="00C735B0" w:rsidP="00C735B0">
            <w:pPr>
              <w:pStyle w:val="ListParagraph"/>
              <w:numPr>
                <w:ilvl w:val="0"/>
                <w:numId w:val="25"/>
              </w:numPr>
              <w:autoSpaceDE w:val="0"/>
              <w:autoSpaceDN w:val="0"/>
              <w:adjustRightInd w:val="0"/>
              <w:rPr>
                <w:rFonts w:cstheme="minorHAnsi"/>
                <w:sz w:val="24"/>
                <w:szCs w:val="24"/>
              </w:rPr>
            </w:pPr>
            <w:r w:rsidRPr="00314229">
              <w:rPr>
                <w:rFonts w:cstheme="minorHAnsi"/>
                <w:sz w:val="24"/>
                <w:szCs w:val="24"/>
              </w:rPr>
              <w:t>Financial modeling for both the Mustard House and the lumberyard property</w:t>
            </w:r>
          </w:p>
          <w:p w:rsidR="00C735B0" w:rsidRPr="00314229" w:rsidRDefault="00C735B0" w:rsidP="00C735B0">
            <w:pPr>
              <w:pStyle w:val="ListParagraph"/>
              <w:numPr>
                <w:ilvl w:val="0"/>
                <w:numId w:val="25"/>
              </w:numPr>
              <w:autoSpaceDE w:val="0"/>
              <w:autoSpaceDN w:val="0"/>
              <w:adjustRightInd w:val="0"/>
              <w:rPr>
                <w:rFonts w:cstheme="minorHAnsi"/>
                <w:sz w:val="24"/>
                <w:szCs w:val="24"/>
              </w:rPr>
            </w:pPr>
            <w:r w:rsidRPr="00314229">
              <w:rPr>
                <w:rFonts w:cstheme="minorHAnsi"/>
                <w:sz w:val="24"/>
                <w:szCs w:val="24"/>
              </w:rPr>
              <w:t>Septic feasibility on three properties with Decentralized Advisors</w:t>
            </w:r>
          </w:p>
          <w:p w:rsidR="00C735B0" w:rsidRPr="00314229" w:rsidRDefault="00C735B0" w:rsidP="00C735B0">
            <w:pPr>
              <w:pStyle w:val="ListParagraph"/>
              <w:numPr>
                <w:ilvl w:val="0"/>
                <w:numId w:val="25"/>
              </w:numPr>
              <w:autoSpaceDE w:val="0"/>
              <w:autoSpaceDN w:val="0"/>
              <w:adjustRightInd w:val="0"/>
              <w:rPr>
                <w:rFonts w:cstheme="minorHAnsi"/>
                <w:sz w:val="24"/>
                <w:szCs w:val="24"/>
              </w:rPr>
            </w:pPr>
            <w:r w:rsidRPr="00314229">
              <w:rPr>
                <w:rFonts w:cstheme="minorHAnsi"/>
                <w:sz w:val="24"/>
                <w:szCs w:val="24"/>
              </w:rPr>
              <w:t xml:space="preserve">Engineering for site plans including </w:t>
            </w:r>
            <w:proofErr w:type="spellStart"/>
            <w:r w:rsidRPr="00314229">
              <w:rPr>
                <w:rFonts w:cstheme="minorHAnsi"/>
                <w:sz w:val="24"/>
                <w:szCs w:val="24"/>
              </w:rPr>
              <w:t>percs</w:t>
            </w:r>
            <w:proofErr w:type="spellEnd"/>
            <w:r w:rsidRPr="00314229">
              <w:rPr>
                <w:rFonts w:cstheme="minorHAnsi"/>
                <w:sz w:val="24"/>
                <w:szCs w:val="24"/>
              </w:rPr>
              <w:t xml:space="preserve"> and deeps for 602 Route 22, the </w:t>
            </w:r>
            <w:proofErr w:type="spellStart"/>
            <w:r w:rsidRPr="00314229">
              <w:rPr>
                <w:rFonts w:cstheme="minorHAnsi"/>
                <w:sz w:val="24"/>
                <w:szCs w:val="24"/>
              </w:rPr>
              <w:t>Odle</w:t>
            </w:r>
            <w:proofErr w:type="spellEnd"/>
            <w:r w:rsidRPr="00314229">
              <w:rPr>
                <w:rFonts w:cstheme="minorHAnsi"/>
                <w:sz w:val="24"/>
                <w:szCs w:val="24"/>
              </w:rPr>
              <w:t xml:space="preserve"> Close Property and the Lumberyard</w:t>
            </w:r>
          </w:p>
          <w:p w:rsidR="00C735B0" w:rsidRPr="00314229" w:rsidRDefault="00C735B0" w:rsidP="00C735B0">
            <w:pPr>
              <w:pStyle w:val="ListParagraph"/>
              <w:numPr>
                <w:ilvl w:val="0"/>
                <w:numId w:val="25"/>
              </w:numPr>
              <w:autoSpaceDE w:val="0"/>
              <w:autoSpaceDN w:val="0"/>
              <w:adjustRightInd w:val="0"/>
              <w:rPr>
                <w:rFonts w:cstheme="minorHAnsi"/>
                <w:sz w:val="24"/>
                <w:szCs w:val="24"/>
              </w:rPr>
            </w:pPr>
            <w:r w:rsidRPr="00314229">
              <w:rPr>
                <w:rFonts w:cstheme="minorHAnsi"/>
                <w:sz w:val="24"/>
                <w:szCs w:val="24"/>
              </w:rPr>
              <w:t>Architectural schematics of the lumberyard showing that 21 units of one-, two- and three -bedroom apartments would be accommodated on the site.</w:t>
            </w:r>
          </w:p>
          <w:p w:rsidR="00C735B0" w:rsidRPr="00314229" w:rsidRDefault="00C735B0" w:rsidP="00C735B0">
            <w:pPr>
              <w:pStyle w:val="ListParagraph"/>
              <w:autoSpaceDE w:val="0"/>
              <w:autoSpaceDN w:val="0"/>
              <w:adjustRightInd w:val="0"/>
              <w:ind w:left="144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The Mustard House</w:t>
            </w:r>
            <w:r w:rsidR="0024234D" w:rsidRPr="00314229">
              <w:rPr>
                <w:rFonts w:cstheme="minorHAnsi"/>
                <w:sz w:val="24"/>
                <w:szCs w:val="24"/>
              </w:rPr>
              <w:t xml:space="preserve"> </w:t>
            </w:r>
            <w:r w:rsidRPr="00314229">
              <w:rPr>
                <w:rFonts w:cstheme="minorHAnsi"/>
                <w:sz w:val="24"/>
                <w:szCs w:val="24"/>
              </w:rPr>
              <w:t xml:space="preserve">at 602 Route 22 had engineering and environmental studies done, architectural plans were developed, soil testing was done, the health department approved the </w:t>
            </w:r>
            <w:proofErr w:type="spellStart"/>
            <w:r w:rsidRPr="00314229">
              <w:rPr>
                <w:rFonts w:cstheme="minorHAnsi"/>
                <w:sz w:val="24"/>
                <w:szCs w:val="24"/>
              </w:rPr>
              <w:t>perc</w:t>
            </w:r>
            <w:proofErr w:type="spellEnd"/>
            <w:r w:rsidRPr="00314229">
              <w:rPr>
                <w:rFonts w:cstheme="minorHAnsi"/>
                <w:sz w:val="24"/>
                <w:szCs w:val="24"/>
              </w:rPr>
              <w:t xml:space="preserve"> tests and from that a new septic system was designed by the engineer along with a site plan. The new system was approved by the Westchester Department of Health. We were able to blend funds from the RPA grant with a feasibility loan from CCNY to maximize the use of grant funds over loan funds.</w:t>
            </w:r>
          </w:p>
          <w:p w:rsidR="00C735B0" w:rsidRPr="00314229" w:rsidRDefault="00C735B0"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Funding was sought and approved by Westchester County Department of Planning. The application to have the property revert to a single family house was approved. The stumbling block was the request for a special permit for an accessory apartment and a variance to permit more lot coverage for the parking of four cars (two more parking places required because of the accessory apartment). The variance for the parking spaces required an increase in the lot coverage area was denied, therefore making the request for a special permit moot, and therefore denied.</w:t>
            </w:r>
          </w:p>
          <w:p w:rsidR="008A5DA0" w:rsidRPr="00314229" w:rsidRDefault="008A5DA0"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As of August 19, 2014 the owner of the Mustard House property has verbally agreed to</w:t>
            </w:r>
            <w:r w:rsidR="008A5DA0" w:rsidRPr="00314229">
              <w:rPr>
                <w:rFonts w:cstheme="minorHAnsi"/>
                <w:sz w:val="24"/>
                <w:szCs w:val="24"/>
              </w:rPr>
              <w:t xml:space="preserve"> </w:t>
            </w:r>
            <w:r w:rsidRPr="00314229">
              <w:rPr>
                <w:rFonts w:cstheme="minorHAnsi"/>
                <w:sz w:val="24"/>
                <w:szCs w:val="24"/>
              </w:rPr>
              <w:t>sell for a reduced price – from $175,000 to $150,000. The plans will be for the renovation of the</w:t>
            </w:r>
            <w:r w:rsidR="008A5DA0" w:rsidRPr="00314229">
              <w:rPr>
                <w:rFonts w:cstheme="minorHAnsi"/>
                <w:sz w:val="24"/>
                <w:szCs w:val="24"/>
              </w:rPr>
              <w:t xml:space="preserve"> </w:t>
            </w:r>
            <w:r w:rsidRPr="00314229">
              <w:rPr>
                <w:rFonts w:cstheme="minorHAnsi"/>
                <w:sz w:val="24"/>
                <w:szCs w:val="24"/>
              </w:rPr>
              <w:t>single family house with the new on-site septic. This septic system utilizes new technology and</w:t>
            </w:r>
            <w:r w:rsidR="008A5DA0" w:rsidRPr="00314229">
              <w:rPr>
                <w:rFonts w:cstheme="minorHAnsi"/>
                <w:sz w:val="24"/>
                <w:szCs w:val="24"/>
              </w:rPr>
              <w:t xml:space="preserve"> </w:t>
            </w:r>
            <w:r w:rsidRPr="00314229">
              <w:rPr>
                <w:rFonts w:cstheme="minorHAnsi"/>
                <w:sz w:val="24"/>
                <w:szCs w:val="24"/>
              </w:rPr>
              <w:t>includes a Soil Air Advanced Treatment system and a GST (Gravel, Sand Treatment) system. The</w:t>
            </w:r>
            <w:r w:rsidR="008A5DA0" w:rsidRPr="00314229">
              <w:rPr>
                <w:rFonts w:cstheme="minorHAnsi"/>
                <w:sz w:val="24"/>
                <w:szCs w:val="24"/>
              </w:rPr>
              <w:t xml:space="preserve"> </w:t>
            </w:r>
            <w:r w:rsidRPr="00314229">
              <w:rPr>
                <w:rFonts w:cstheme="minorHAnsi"/>
                <w:sz w:val="24"/>
                <w:szCs w:val="24"/>
              </w:rPr>
              <w:t>GST will treat at 6x the regular treatment capacity.</w:t>
            </w:r>
          </w:p>
          <w:p w:rsidR="008A5DA0" w:rsidRPr="00314229" w:rsidRDefault="008A5DA0"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 xml:space="preserve">A market analysis of Croton Falls was conducted by Richard </w:t>
            </w:r>
            <w:proofErr w:type="spellStart"/>
            <w:r w:rsidRPr="00314229">
              <w:rPr>
                <w:rFonts w:cstheme="minorHAnsi"/>
                <w:sz w:val="24"/>
                <w:szCs w:val="24"/>
              </w:rPr>
              <w:t>Lampert</w:t>
            </w:r>
            <w:proofErr w:type="spellEnd"/>
            <w:r w:rsidRPr="00314229">
              <w:rPr>
                <w:rFonts w:cstheme="minorHAnsi"/>
                <w:sz w:val="24"/>
                <w:szCs w:val="24"/>
              </w:rPr>
              <w:t xml:space="preserve"> Associates proving the need</w:t>
            </w:r>
            <w:r w:rsidR="008A5DA0" w:rsidRPr="00314229">
              <w:rPr>
                <w:rFonts w:cstheme="minorHAnsi"/>
                <w:sz w:val="24"/>
                <w:szCs w:val="24"/>
              </w:rPr>
              <w:t xml:space="preserve"> </w:t>
            </w:r>
            <w:r w:rsidRPr="00314229">
              <w:rPr>
                <w:rFonts w:cstheme="minorHAnsi"/>
                <w:sz w:val="24"/>
                <w:szCs w:val="24"/>
              </w:rPr>
              <w:t>for rental housing. Several properties were evaluated as well as, the northern Westchester area.</w:t>
            </w:r>
          </w:p>
          <w:p w:rsidR="008A5DA0" w:rsidRPr="00314229" w:rsidRDefault="008A5DA0"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 xml:space="preserve">Under the RPA grant we did soil tests and septic tests at the </w:t>
            </w:r>
            <w:proofErr w:type="spellStart"/>
            <w:r w:rsidRPr="00314229">
              <w:rPr>
                <w:rFonts w:cstheme="minorHAnsi"/>
                <w:sz w:val="24"/>
                <w:szCs w:val="24"/>
              </w:rPr>
              <w:t>Odle</w:t>
            </w:r>
            <w:proofErr w:type="spellEnd"/>
            <w:r w:rsidRPr="00314229">
              <w:rPr>
                <w:rFonts w:cstheme="minorHAnsi"/>
                <w:sz w:val="24"/>
                <w:szCs w:val="24"/>
              </w:rPr>
              <w:t xml:space="preserve"> Close property which showed that</w:t>
            </w:r>
            <w:r w:rsidR="00771C88" w:rsidRPr="00314229">
              <w:rPr>
                <w:rFonts w:cstheme="minorHAnsi"/>
                <w:sz w:val="24"/>
                <w:szCs w:val="24"/>
              </w:rPr>
              <w:t xml:space="preserve"> </w:t>
            </w:r>
            <w:r w:rsidRPr="00314229">
              <w:rPr>
                <w:rFonts w:cstheme="minorHAnsi"/>
                <w:sz w:val="24"/>
                <w:szCs w:val="24"/>
              </w:rPr>
              <w:t>the property would only need repairs not the replacement of the entire system. In order for ACE to</w:t>
            </w:r>
            <w:r w:rsidR="00771C88" w:rsidRPr="00314229">
              <w:rPr>
                <w:rFonts w:cstheme="minorHAnsi"/>
                <w:sz w:val="24"/>
                <w:szCs w:val="24"/>
              </w:rPr>
              <w:t xml:space="preserve"> </w:t>
            </w:r>
            <w:r w:rsidRPr="00314229">
              <w:rPr>
                <w:rFonts w:cstheme="minorHAnsi"/>
                <w:sz w:val="24"/>
                <w:szCs w:val="24"/>
              </w:rPr>
              <w:t>take over the ownership, The County would like tenant turn over at the property before the</w:t>
            </w:r>
            <w:r w:rsidR="00771C88" w:rsidRPr="00314229">
              <w:rPr>
                <w:rFonts w:cstheme="minorHAnsi"/>
                <w:sz w:val="24"/>
                <w:szCs w:val="24"/>
              </w:rPr>
              <w:t xml:space="preserve"> </w:t>
            </w:r>
            <w:r w:rsidRPr="00314229">
              <w:rPr>
                <w:rFonts w:cstheme="minorHAnsi"/>
                <w:sz w:val="24"/>
                <w:szCs w:val="24"/>
              </w:rPr>
              <w:t>property becomes ACE’s. This will enable the unit that is vacated to be counted towards the</w:t>
            </w:r>
            <w:r w:rsidR="00771C88" w:rsidRPr="00314229">
              <w:rPr>
                <w:rFonts w:cstheme="minorHAnsi"/>
                <w:sz w:val="24"/>
                <w:szCs w:val="24"/>
              </w:rPr>
              <w:t xml:space="preserve"> </w:t>
            </w:r>
            <w:r w:rsidRPr="00314229">
              <w:rPr>
                <w:rFonts w:cstheme="minorHAnsi"/>
                <w:sz w:val="24"/>
                <w:szCs w:val="24"/>
              </w:rPr>
              <w:t>housing settlement. However, there has been no tenant turnover in more than a year.</w:t>
            </w:r>
          </w:p>
          <w:p w:rsidR="00771C88" w:rsidRPr="00314229" w:rsidRDefault="00771C88" w:rsidP="00C735B0">
            <w:pPr>
              <w:autoSpaceDE w:val="0"/>
              <w:autoSpaceDN w:val="0"/>
              <w:adjustRightInd w:val="0"/>
              <w:rPr>
                <w:rFonts w:cstheme="minorHAnsi"/>
                <w:sz w:val="24"/>
                <w:szCs w:val="24"/>
              </w:rPr>
            </w:pPr>
          </w:p>
          <w:p w:rsidR="00771C88" w:rsidRPr="00314229" w:rsidRDefault="00C735B0" w:rsidP="00C735B0">
            <w:pPr>
              <w:autoSpaceDE w:val="0"/>
              <w:autoSpaceDN w:val="0"/>
              <w:adjustRightInd w:val="0"/>
              <w:rPr>
                <w:rFonts w:cstheme="minorHAnsi"/>
                <w:sz w:val="24"/>
                <w:szCs w:val="24"/>
              </w:rPr>
            </w:pPr>
            <w:r w:rsidRPr="00314229">
              <w:rPr>
                <w:rFonts w:cstheme="minorHAnsi"/>
                <w:sz w:val="24"/>
                <w:szCs w:val="24"/>
              </w:rPr>
              <w:t>ACE evaluated the Lumber Yard at 621 Route 22.. The premise was to demonstrate how well the</w:t>
            </w:r>
            <w:r w:rsidR="00771C88" w:rsidRPr="00314229">
              <w:rPr>
                <w:rFonts w:cstheme="minorHAnsi"/>
                <w:sz w:val="24"/>
                <w:szCs w:val="24"/>
              </w:rPr>
              <w:t xml:space="preserve"> </w:t>
            </w:r>
            <w:r w:rsidRPr="00314229">
              <w:rPr>
                <w:rFonts w:cstheme="minorHAnsi"/>
                <w:sz w:val="24"/>
                <w:szCs w:val="24"/>
              </w:rPr>
              <w:t>soil would percolate for a future development. The soil and percolation tests for that property</w:t>
            </w:r>
            <w:r w:rsidR="00771C88" w:rsidRPr="00314229">
              <w:rPr>
                <w:rFonts w:cstheme="minorHAnsi"/>
                <w:sz w:val="24"/>
                <w:szCs w:val="24"/>
              </w:rPr>
              <w:t xml:space="preserve"> </w:t>
            </w:r>
            <w:r w:rsidRPr="00314229">
              <w:rPr>
                <w:rFonts w:cstheme="minorHAnsi"/>
                <w:sz w:val="24"/>
                <w:szCs w:val="24"/>
              </w:rPr>
              <w:t>showed that it could accommodate</w:t>
            </w:r>
            <w:r w:rsidR="00695ECC" w:rsidRPr="00314229">
              <w:rPr>
                <w:rFonts w:cstheme="minorHAnsi"/>
                <w:sz w:val="24"/>
                <w:szCs w:val="24"/>
              </w:rPr>
              <w:t xml:space="preserve"> </w:t>
            </w:r>
            <w:r w:rsidRPr="00314229">
              <w:rPr>
                <w:rFonts w:cstheme="minorHAnsi"/>
                <w:sz w:val="24"/>
                <w:szCs w:val="24"/>
              </w:rPr>
              <w:t>a flow of 5500 gallons per day or 40 bedrooms, or hypothetically</w:t>
            </w:r>
            <w:r w:rsidR="00771C88" w:rsidRPr="00314229">
              <w:rPr>
                <w:rFonts w:cstheme="minorHAnsi"/>
                <w:sz w:val="24"/>
                <w:szCs w:val="24"/>
              </w:rPr>
              <w:t xml:space="preserve"> </w:t>
            </w:r>
            <w:r w:rsidRPr="00314229">
              <w:rPr>
                <w:rFonts w:cstheme="minorHAnsi"/>
                <w:sz w:val="24"/>
                <w:szCs w:val="24"/>
              </w:rPr>
              <w:t>21 apartments with parking and play ground and an on-site waste water treatment -- all allowed</w:t>
            </w:r>
            <w:r w:rsidR="00771C88" w:rsidRPr="00314229">
              <w:rPr>
                <w:rFonts w:cstheme="minorHAnsi"/>
                <w:sz w:val="24"/>
                <w:szCs w:val="24"/>
              </w:rPr>
              <w:t xml:space="preserve"> </w:t>
            </w:r>
            <w:r w:rsidRPr="00314229">
              <w:rPr>
                <w:rFonts w:cstheme="minorHAnsi"/>
                <w:sz w:val="24"/>
                <w:szCs w:val="24"/>
              </w:rPr>
              <w:t>within local zoning. If a conventional system were to be used, the entire parcel would have to be</w:t>
            </w:r>
            <w:r w:rsidR="00771C88" w:rsidRPr="00314229">
              <w:rPr>
                <w:rFonts w:cstheme="minorHAnsi"/>
                <w:sz w:val="24"/>
                <w:szCs w:val="24"/>
              </w:rPr>
              <w:t xml:space="preserve"> </w:t>
            </w:r>
            <w:r w:rsidRPr="00314229">
              <w:rPr>
                <w:rFonts w:cstheme="minorHAnsi"/>
                <w:sz w:val="24"/>
                <w:szCs w:val="24"/>
              </w:rPr>
              <w:t xml:space="preserve">utilized to have 21 units of housing or the flow equivalent. </w:t>
            </w:r>
          </w:p>
          <w:p w:rsidR="00771C88" w:rsidRPr="00314229" w:rsidRDefault="00771C88"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 xml:space="preserve">Paul </w:t>
            </w:r>
            <w:proofErr w:type="spellStart"/>
            <w:r w:rsidRPr="00314229">
              <w:rPr>
                <w:rFonts w:cstheme="minorHAnsi"/>
                <w:sz w:val="24"/>
                <w:szCs w:val="24"/>
              </w:rPr>
              <w:t>Kutzy</w:t>
            </w:r>
            <w:proofErr w:type="spellEnd"/>
            <w:r w:rsidRPr="00314229">
              <w:rPr>
                <w:rFonts w:cstheme="minorHAnsi"/>
                <w:sz w:val="24"/>
                <w:szCs w:val="24"/>
              </w:rPr>
              <w:t>, of the Westchester</w:t>
            </w:r>
            <w:r w:rsidR="00771C88" w:rsidRPr="00314229">
              <w:rPr>
                <w:rFonts w:cstheme="minorHAnsi"/>
                <w:sz w:val="24"/>
                <w:szCs w:val="24"/>
              </w:rPr>
              <w:t xml:space="preserve"> </w:t>
            </w:r>
            <w:r w:rsidRPr="00314229">
              <w:rPr>
                <w:rFonts w:cstheme="minorHAnsi"/>
                <w:sz w:val="24"/>
                <w:szCs w:val="24"/>
              </w:rPr>
              <w:t>Department of Health thought the prospects of this kind of system in a watershed community was</w:t>
            </w:r>
            <w:r w:rsidR="00771C88" w:rsidRPr="00314229">
              <w:rPr>
                <w:rFonts w:cstheme="minorHAnsi"/>
                <w:sz w:val="24"/>
                <w:szCs w:val="24"/>
              </w:rPr>
              <w:t xml:space="preserve"> </w:t>
            </w:r>
            <w:r w:rsidRPr="00314229">
              <w:rPr>
                <w:rFonts w:cstheme="minorHAnsi"/>
                <w:sz w:val="24"/>
                <w:szCs w:val="24"/>
              </w:rPr>
              <w:t xml:space="preserve">very promising and could be approved by the Department of Environmental </w:t>
            </w:r>
            <w:r w:rsidR="00771C88" w:rsidRPr="00314229">
              <w:rPr>
                <w:rFonts w:cstheme="minorHAnsi"/>
                <w:sz w:val="24"/>
                <w:szCs w:val="24"/>
              </w:rPr>
              <w:t xml:space="preserve"> p</w:t>
            </w:r>
            <w:r w:rsidRPr="00314229">
              <w:rPr>
                <w:rFonts w:cstheme="minorHAnsi"/>
                <w:sz w:val="24"/>
                <w:szCs w:val="24"/>
              </w:rPr>
              <w:t>rotection(NYC’s</w:t>
            </w:r>
            <w:r w:rsidR="00771C88" w:rsidRPr="00314229">
              <w:rPr>
                <w:rFonts w:cstheme="minorHAnsi"/>
                <w:sz w:val="24"/>
                <w:szCs w:val="24"/>
              </w:rPr>
              <w:t xml:space="preserve"> </w:t>
            </w:r>
            <w:r w:rsidRPr="00314229">
              <w:rPr>
                <w:rFonts w:cstheme="minorHAnsi"/>
                <w:sz w:val="24"/>
                <w:szCs w:val="24"/>
              </w:rPr>
              <w:t>watershed protection agency).The preliminary recommendation is for a small customized</w:t>
            </w: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Decentralized Wastewater Treatment System, Sequencing Batch Reactor (SBR) wastewater</w:t>
            </w:r>
            <w:r w:rsidR="00771C88" w:rsidRPr="00314229">
              <w:rPr>
                <w:rFonts w:cstheme="minorHAnsi"/>
                <w:sz w:val="24"/>
                <w:szCs w:val="24"/>
              </w:rPr>
              <w:t xml:space="preserve"> </w:t>
            </w:r>
            <w:r w:rsidRPr="00314229">
              <w:rPr>
                <w:rFonts w:cstheme="minorHAnsi"/>
                <w:sz w:val="24"/>
                <w:szCs w:val="24"/>
              </w:rPr>
              <w:t>treatment system with subsurface discharge to gravel-less chambers.</w:t>
            </w:r>
          </w:p>
          <w:p w:rsidR="00771C88" w:rsidRPr="00314229" w:rsidRDefault="00771C88"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The configur</w:t>
            </w:r>
            <w:r w:rsidR="00D9091B" w:rsidRPr="00314229">
              <w:rPr>
                <w:rFonts w:cstheme="minorHAnsi"/>
                <w:sz w:val="24"/>
                <w:szCs w:val="24"/>
              </w:rPr>
              <w:t xml:space="preserve">ation our engineer, John </w:t>
            </w:r>
            <w:proofErr w:type="spellStart"/>
            <w:r w:rsidR="00D9091B" w:rsidRPr="00314229">
              <w:rPr>
                <w:rFonts w:cstheme="minorHAnsi"/>
                <w:sz w:val="24"/>
                <w:szCs w:val="24"/>
              </w:rPr>
              <w:t>Kalin</w:t>
            </w:r>
            <w:proofErr w:type="spellEnd"/>
            <w:r w:rsidR="00D9091B" w:rsidRPr="00314229">
              <w:rPr>
                <w:rFonts w:cstheme="minorHAnsi"/>
                <w:sz w:val="24"/>
                <w:szCs w:val="24"/>
              </w:rPr>
              <w:t xml:space="preserve">, </w:t>
            </w:r>
            <w:r w:rsidRPr="00314229">
              <w:rPr>
                <w:rFonts w:cstheme="minorHAnsi"/>
                <w:sz w:val="24"/>
                <w:szCs w:val="24"/>
              </w:rPr>
              <w:t>PE estimated was:</w:t>
            </w: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(3) 4,000 gallon primary septic tanks.</w:t>
            </w: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(2) 8,000 gallon pump chamber tanks.</w:t>
            </w: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(5) 4,500 gallon tanks for DWTS SBR units.</w:t>
            </w: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(TBD) Gravel-less Chambers for sub-surface dispersal field.</w:t>
            </w:r>
          </w:p>
          <w:p w:rsidR="00E73B23" w:rsidRPr="00314229" w:rsidRDefault="00E73B23"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Decentralized systems are promising as a solution which is less costly and takes up far less room</w:t>
            </w:r>
            <w:r w:rsidR="00E73B23" w:rsidRPr="00314229">
              <w:rPr>
                <w:rFonts w:cstheme="minorHAnsi"/>
                <w:sz w:val="24"/>
                <w:szCs w:val="24"/>
              </w:rPr>
              <w:t xml:space="preserve"> </w:t>
            </w:r>
            <w:r w:rsidRPr="00314229">
              <w:rPr>
                <w:rFonts w:cstheme="minorHAnsi"/>
                <w:sz w:val="24"/>
                <w:szCs w:val="24"/>
              </w:rPr>
              <w:t>than conventional septic system and sewers. We need to educate not only the community, but help</w:t>
            </w:r>
            <w:r w:rsidR="00E73B23" w:rsidRPr="00314229">
              <w:rPr>
                <w:rFonts w:cstheme="minorHAnsi"/>
                <w:sz w:val="24"/>
                <w:szCs w:val="24"/>
              </w:rPr>
              <w:t xml:space="preserve"> </w:t>
            </w:r>
            <w:r w:rsidRPr="00314229">
              <w:rPr>
                <w:rFonts w:cstheme="minorHAnsi"/>
                <w:sz w:val="24"/>
                <w:szCs w:val="24"/>
              </w:rPr>
              <w:t>alleviate many of the misconceptions on the part of municipal, county and state government</w:t>
            </w:r>
            <w:r w:rsidR="00E73B23" w:rsidRPr="00314229">
              <w:rPr>
                <w:rFonts w:cstheme="minorHAnsi"/>
                <w:sz w:val="24"/>
                <w:szCs w:val="24"/>
              </w:rPr>
              <w:t xml:space="preserve"> </w:t>
            </w:r>
            <w:r w:rsidRPr="00314229">
              <w:rPr>
                <w:rFonts w:cstheme="minorHAnsi"/>
                <w:sz w:val="24"/>
                <w:szCs w:val="24"/>
              </w:rPr>
              <w:t>officials.</w:t>
            </w:r>
          </w:p>
          <w:p w:rsidR="00E73B23" w:rsidRPr="00314229" w:rsidRDefault="00E73B23"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ACE met with Town officials on April 25, 2014. We shared our findings. The Town voiced the</w:t>
            </w:r>
            <w:r w:rsidR="00E73B23" w:rsidRPr="00314229">
              <w:rPr>
                <w:rFonts w:cstheme="minorHAnsi"/>
                <w:sz w:val="24"/>
                <w:szCs w:val="24"/>
              </w:rPr>
              <w:t xml:space="preserve"> </w:t>
            </w:r>
            <w:r w:rsidRPr="00314229">
              <w:rPr>
                <w:rFonts w:cstheme="minorHAnsi"/>
                <w:sz w:val="24"/>
                <w:szCs w:val="24"/>
              </w:rPr>
              <w:t>opinion that it did not want all “</w:t>
            </w:r>
            <w:proofErr w:type="spellStart"/>
            <w:r w:rsidRPr="00314229">
              <w:rPr>
                <w:rFonts w:cstheme="minorHAnsi"/>
                <w:sz w:val="24"/>
                <w:szCs w:val="24"/>
              </w:rPr>
              <w:t>affordables</w:t>
            </w:r>
            <w:proofErr w:type="spellEnd"/>
            <w:r w:rsidRPr="00314229">
              <w:rPr>
                <w:rFonts w:cstheme="minorHAnsi"/>
                <w:sz w:val="24"/>
                <w:szCs w:val="24"/>
              </w:rPr>
              <w:t>” on the lumberyard site. The supervisor and the</w:t>
            </w:r>
            <w:r w:rsidR="00E73B23" w:rsidRPr="00314229">
              <w:rPr>
                <w:rFonts w:cstheme="minorHAnsi"/>
                <w:sz w:val="24"/>
                <w:szCs w:val="24"/>
              </w:rPr>
              <w:t xml:space="preserve"> </w:t>
            </w:r>
            <w:r w:rsidRPr="00314229">
              <w:rPr>
                <w:rFonts w:cstheme="minorHAnsi"/>
                <w:sz w:val="24"/>
                <w:szCs w:val="24"/>
              </w:rPr>
              <w:t>planning chair articulated that there were rumors in the hamlet by one of the property owners</w:t>
            </w:r>
            <w:r w:rsidR="00E73B23" w:rsidRPr="00314229">
              <w:rPr>
                <w:rFonts w:cstheme="minorHAnsi"/>
                <w:sz w:val="24"/>
                <w:szCs w:val="24"/>
              </w:rPr>
              <w:t xml:space="preserve"> </w:t>
            </w:r>
            <w:r w:rsidRPr="00314229">
              <w:rPr>
                <w:rFonts w:cstheme="minorHAnsi"/>
                <w:sz w:val="24"/>
                <w:szCs w:val="24"/>
              </w:rPr>
              <w:t>about taking his property through</w:t>
            </w:r>
            <w:r w:rsidR="00E73B23" w:rsidRPr="00314229">
              <w:rPr>
                <w:rFonts w:cstheme="minorHAnsi"/>
                <w:sz w:val="24"/>
                <w:szCs w:val="24"/>
              </w:rPr>
              <w:t xml:space="preserve"> </w:t>
            </w:r>
            <w:r w:rsidRPr="00314229">
              <w:rPr>
                <w:rFonts w:cstheme="minorHAnsi"/>
                <w:sz w:val="24"/>
                <w:szCs w:val="24"/>
              </w:rPr>
              <w:t>eminent domain. After the meeting we discovered that rumors</w:t>
            </w:r>
            <w:r w:rsidR="00E73B23" w:rsidRPr="00314229">
              <w:rPr>
                <w:rFonts w:cstheme="minorHAnsi"/>
                <w:sz w:val="24"/>
                <w:szCs w:val="24"/>
              </w:rPr>
              <w:t xml:space="preserve"> </w:t>
            </w:r>
            <w:r w:rsidRPr="00314229">
              <w:rPr>
                <w:rFonts w:cstheme="minorHAnsi"/>
                <w:sz w:val="24"/>
                <w:szCs w:val="24"/>
              </w:rPr>
              <w:t>were being circulated that the entire hamlet of Croton Falls would be converted to affordable</w:t>
            </w:r>
            <w:r w:rsidR="00E73B23" w:rsidRPr="00314229">
              <w:rPr>
                <w:rFonts w:cstheme="minorHAnsi"/>
                <w:sz w:val="24"/>
                <w:szCs w:val="24"/>
              </w:rPr>
              <w:t xml:space="preserve"> </w:t>
            </w:r>
            <w:r w:rsidRPr="00314229">
              <w:rPr>
                <w:rFonts w:cstheme="minorHAnsi"/>
                <w:sz w:val="24"/>
                <w:szCs w:val="24"/>
              </w:rPr>
              <w:t>housing and the zoning would change eliminating businesses.</w:t>
            </w:r>
          </w:p>
          <w:p w:rsidR="00E73B23" w:rsidRPr="00314229" w:rsidRDefault="00E73B23" w:rsidP="00C735B0">
            <w:pPr>
              <w:autoSpaceDE w:val="0"/>
              <w:autoSpaceDN w:val="0"/>
              <w:adjustRightInd w:val="0"/>
              <w:rPr>
                <w:rFonts w:cstheme="minorHAnsi"/>
                <w:sz w:val="24"/>
                <w:szCs w:val="24"/>
              </w:rPr>
            </w:pPr>
          </w:p>
          <w:p w:rsidR="00E73B23" w:rsidRPr="00314229" w:rsidRDefault="00C735B0" w:rsidP="00C735B0">
            <w:pPr>
              <w:autoSpaceDE w:val="0"/>
              <w:autoSpaceDN w:val="0"/>
              <w:adjustRightInd w:val="0"/>
              <w:rPr>
                <w:rFonts w:cstheme="minorHAnsi"/>
                <w:sz w:val="24"/>
                <w:szCs w:val="24"/>
              </w:rPr>
            </w:pPr>
            <w:r w:rsidRPr="00314229">
              <w:rPr>
                <w:rFonts w:cstheme="minorHAnsi"/>
                <w:sz w:val="24"/>
                <w:szCs w:val="24"/>
              </w:rPr>
              <w:t>It is hard to figure out exactly how the rumors started to circulate. We had several people going to</w:t>
            </w:r>
            <w:r w:rsidR="00E73B23" w:rsidRPr="00314229">
              <w:rPr>
                <w:rFonts w:cstheme="minorHAnsi"/>
                <w:sz w:val="24"/>
                <w:szCs w:val="24"/>
              </w:rPr>
              <w:t xml:space="preserve"> </w:t>
            </w:r>
            <w:r w:rsidRPr="00314229">
              <w:rPr>
                <w:rFonts w:cstheme="minorHAnsi"/>
                <w:sz w:val="24"/>
                <w:szCs w:val="24"/>
              </w:rPr>
              <w:t>the town hall for records and walking around the hamlet for the purposes of the engineering, design</w:t>
            </w:r>
            <w:r w:rsidR="00E73B23" w:rsidRPr="00314229">
              <w:rPr>
                <w:rFonts w:cstheme="minorHAnsi"/>
                <w:sz w:val="24"/>
                <w:szCs w:val="24"/>
              </w:rPr>
              <w:t xml:space="preserve"> </w:t>
            </w:r>
            <w:r w:rsidRPr="00314229">
              <w:rPr>
                <w:rFonts w:cstheme="minorHAnsi"/>
                <w:sz w:val="24"/>
                <w:szCs w:val="24"/>
              </w:rPr>
              <w:t>and information needed to conduct the market analysis and other studies pertaining to the grant</w:t>
            </w:r>
            <w:r w:rsidR="00E73B23" w:rsidRPr="00314229">
              <w:rPr>
                <w:rFonts w:cstheme="minorHAnsi"/>
                <w:sz w:val="24"/>
                <w:szCs w:val="24"/>
              </w:rPr>
              <w:t xml:space="preserve"> </w:t>
            </w:r>
            <w:r w:rsidRPr="00314229">
              <w:rPr>
                <w:rFonts w:cstheme="minorHAnsi"/>
                <w:sz w:val="24"/>
                <w:szCs w:val="24"/>
              </w:rPr>
              <w:t>and the work that needed to be done on the Mustard House at 602 Route 22. We suspect that one</w:t>
            </w:r>
            <w:r w:rsidR="00E73B23" w:rsidRPr="00314229">
              <w:rPr>
                <w:rFonts w:cstheme="minorHAnsi"/>
                <w:sz w:val="24"/>
                <w:szCs w:val="24"/>
              </w:rPr>
              <w:t xml:space="preserve"> </w:t>
            </w:r>
            <w:r w:rsidRPr="00314229">
              <w:rPr>
                <w:rFonts w:cstheme="minorHAnsi"/>
                <w:sz w:val="24"/>
                <w:szCs w:val="24"/>
              </w:rPr>
              <w:t xml:space="preserve">or two of the town officials that we met with in late April fanned the flames. </w:t>
            </w:r>
          </w:p>
          <w:p w:rsidR="00E73B23" w:rsidRPr="00314229" w:rsidRDefault="00E73B23"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By June, the period</w:t>
            </w:r>
            <w:r w:rsidR="00E73B23" w:rsidRPr="00314229">
              <w:rPr>
                <w:rFonts w:cstheme="minorHAnsi"/>
                <w:sz w:val="24"/>
                <w:szCs w:val="24"/>
              </w:rPr>
              <w:t xml:space="preserve"> </w:t>
            </w:r>
            <w:r w:rsidRPr="00314229">
              <w:rPr>
                <w:rFonts w:cstheme="minorHAnsi"/>
                <w:sz w:val="24"/>
                <w:szCs w:val="24"/>
              </w:rPr>
              <w:t>when we hoped to get more Town approvals the community was so enraged that their town would</w:t>
            </w:r>
            <w:r w:rsidR="00E73B23" w:rsidRPr="00314229">
              <w:rPr>
                <w:rFonts w:cstheme="minorHAnsi"/>
                <w:sz w:val="24"/>
                <w:szCs w:val="24"/>
              </w:rPr>
              <w:t xml:space="preserve"> </w:t>
            </w:r>
            <w:r w:rsidRPr="00314229">
              <w:rPr>
                <w:rFonts w:cstheme="minorHAnsi"/>
                <w:sz w:val="24"/>
                <w:szCs w:val="24"/>
              </w:rPr>
              <w:t>be “taken over” by affordable housing. We don’t know for certain but think that it would have been</w:t>
            </w:r>
            <w:r w:rsidR="00E73B23" w:rsidRPr="00314229">
              <w:rPr>
                <w:rFonts w:cstheme="minorHAnsi"/>
                <w:sz w:val="24"/>
                <w:szCs w:val="24"/>
              </w:rPr>
              <w:t xml:space="preserve"> </w:t>
            </w:r>
            <w:r w:rsidRPr="00314229">
              <w:rPr>
                <w:rFonts w:cstheme="minorHAnsi"/>
                <w:sz w:val="24"/>
                <w:szCs w:val="24"/>
              </w:rPr>
              <w:t>more helpful to meet with neighbors early on than having to rush the project to meet</w:t>
            </w:r>
            <w:r w:rsidR="00E73B23" w:rsidRPr="00314229">
              <w:rPr>
                <w:rFonts w:cstheme="minorHAnsi"/>
                <w:sz w:val="24"/>
                <w:szCs w:val="24"/>
              </w:rPr>
              <w:t xml:space="preserve"> </w:t>
            </w:r>
            <w:r w:rsidRPr="00314229">
              <w:rPr>
                <w:rFonts w:cstheme="minorHAnsi"/>
                <w:sz w:val="24"/>
                <w:szCs w:val="24"/>
              </w:rPr>
              <w:t>pre</w:t>
            </w:r>
            <w:r w:rsidR="00E73B23" w:rsidRPr="00314229">
              <w:rPr>
                <w:rFonts w:cstheme="minorHAnsi"/>
                <w:sz w:val="24"/>
                <w:szCs w:val="24"/>
              </w:rPr>
              <w:t>-</w:t>
            </w:r>
            <w:r w:rsidRPr="00314229">
              <w:rPr>
                <w:rFonts w:cstheme="minorHAnsi"/>
                <w:sz w:val="24"/>
                <w:szCs w:val="24"/>
              </w:rPr>
              <w:t>development deadlines There was no time. There was one “neighbor” however, who is so</w:t>
            </w:r>
            <w:r w:rsidR="00E73B23" w:rsidRPr="00314229">
              <w:rPr>
                <w:rFonts w:cstheme="minorHAnsi"/>
                <w:sz w:val="24"/>
                <w:szCs w:val="24"/>
              </w:rPr>
              <w:t xml:space="preserve"> </w:t>
            </w:r>
            <w:r w:rsidRPr="00314229">
              <w:rPr>
                <w:rFonts w:cstheme="minorHAnsi"/>
                <w:sz w:val="24"/>
                <w:szCs w:val="24"/>
              </w:rPr>
              <w:t>racially biased and who was instrumental in inciting the business and residential community. We</w:t>
            </w:r>
            <w:r w:rsidR="00E73B23" w:rsidRPr="00314229">
              <w:rPr>
                <w:rFonts w:cstheme="minorHAnsi"/>
                <w:sz w:val="24"/>
                <w:szCs w:val="24"/>
              </w:rPr>
              <w:t xml:space="preserve"> </w:t>
            </w:r>
            <w:r w:rsidRPr="00314229">
              <w:rPr>
                <w:rFonts w:cstheme="minorHAnsi"/>
                <w:sz w:val="24"/>
                <w:szCs w:val="24"/>
              </w:rPr>
              <w:t>had offered to speak to him, which he declined as he didn’t like subsidized housing and “those”</w:t>
            </w:r>
            <w:r w:rsidR="00E73B23" w:rsidRPr="00314229">
              <w:rPr>
                <w:rFonts w:cstheme="minorHAnsi"/>
                <w:sz w:val="24"/>
                <w:szCs w:val="24"/>
              </w:rPr>
              <w:t xml:space="preserve"> </w:t>
            </w:r>
            <w:r w:rsidRPr="00314229">
              <w:rPr>
                <w:rFonts w:cstheme="minorHAnsi"/>
                <w:sz w:val="24"/>
                <w:szCs w:val="24"/>
              </w:rPr>
              <w:t>people who would live in the apartments or houses.</w:t>
            </w:r>
          </w:p>
          <w:p w:rsidR="00E73B23" w:rsidRPr="00314229" w:rsidRDefault="00E73B23" w:rsidP="00C735B0">
            <w:pPr>
              <w:autoSpaceDE w:val="0"/>
              <w:autoSpaceDN w:val="0"/>
              <w:adjustRightInd w:val="0"/>
              <w:rPr>
                <w:rFonts w:cstheme="minorHAnsi"/>
                <w:sz w:val="24"/>
                <w:szCs w:val="24"/>
              </w:rPr>
            </w:pPr>
          </w:p>
          <w:p w:rsidR="00C735B0" w:rsidRPr="00314229" w:rsidRDefault="00C735B0" w:rsidP="00C735B0">
            <w:pPr>
              <w:autoSpaceDE w:val="0"/>
              <w:autoSpaceDN w:val="0"/>
              <w:adjustRightInd w:val="0"/>
              <w:rPr>
                <w:rFonts w:cstheme="minorHAnsi"/>
                <w:sz w:val="24"/>
                <w:szCs w:val="24"/>
              </w:rPr>
            </w:pPr>
            <w:r w:rsidRPr="00314229">
              <w:rPr>
                <w:rFonts w:cstheme="minorHAnsi"/>
                <w:sz w:val="24"/>
                <w:szCs w:val="24"/>
              </w:rPr>
              <w:t>Unfortunately the tenor of the Housing Settlement in Westchester has intensified the communities’</w:t>
            </w:r>
            <w:r w:rsidR="00E73B23" w:rsidRPr="00314229">
              <w:rPr>
                <w:rFonts w:cstheme="minorHAnsi"/>
                <w:sz w:val="24"/>
                <w:szCs w:val="24"/>
              </w:rPr>
              <w:t xml:space="preserve"> </w:t>
            </w:r>
            <w:r w:rsidRPr="00314229">
              <w:rPr>
                <w:rFonts w:cstheme="minorHAnsi"/>
                <w:sz w:val="24"/>
                <w:szCs w:val="24"/>
              </w:rPr>
              <w:t>fear of affordable housing. There is a real perception that HUD will come in to overturn local</w:t>
            </w:r>
            <w:r w:rsidR="00E73B23" w:rsidRPr="00314229">
              <w:rPr>
                <w:rFonts w:cstheme="minorHAnsi"/>
                <w:sz w:val="24"/>
                <w:szCs w:val="24"/>
              </w:rPr>
              <w:t xml:space="preserve"> </w:t>
            </w:r>
            <w:r w:rsidRPr="00314229">
              <w:rPr>
                <w:rFonts w:cstheme="minorHAnsi"/>
                <w:sz w:val="24"/>
                <w:szCs w:val="24"/>
              </w:rPr>
              <w:t>zoning, in large part because this is County Executive’s message to local communities. For HUD’s</w:t>
            </w:r>
            <w:r w:rsidR="00E73B23" w:rsidRPr="00314229">
              <w:rPr>
                <w:rFonts w:cstheme="minorHAnsi"/>
                <w:sz w:val="24"/>
                <w:szCs w:val="24"/>
              </w:rPr>
              <w:t xml:space="preserve"> </w:t>
            </w:r>
            <w:r w:rsidRPr="00314229">
              <w:rPr>
                <w:rFonts w:cstheme="minorHAnsi"/>
                <w:sz w:val="24"/>
                <w:szCs w:val="24"/>
              </w:rPr>
              <w:t>part, repeatedly not accepting Westchester County’s Analysis of Impediments further fans the</w:t>
            </w:r>
            <w:r w:rsidR="00E73B23" w:rsidRPr="00314229">
              <w:rPr>
                <w:rFonts w:cstheme="minorHAnsi"/>
                <w:sz w:val="24"/>
                <w:szCs w:val="24"/>
              </w:rPr>
              <w:t xml:space="preserve"> </w:t>
            </w:r>
            <w:r w:rsidRPr="00314229">
              <w:rPr>
                <w:rFonts w:cstheme="minorHAnsi"/>
                <w:sz w:val="24"/>
                <w:szCs w:val="24"/>
              </w:rPr>
              <w:t>flames as residents of the county feel that HUD will not be satisfied until the AIs state that the</w:t>
            </w:r>
            <w:r w:rsidR="00E73B23" w:rsidRPr="00314229">
              <w:rPr>
                <w:rFonts w:cstheme="minorHAnsi"/>
                <w:sz w:val="24"/>
                <w:szCs w:val="24"/>
              </w:rPr>
              <w:t xml:space="preserve"> </w:t>
            </w:r>
            <w:r w:rsidRPr="00314229">
              <w:rPr>
                <w:rFonts w:cstheme="minorHAnsi"/>
                <w:sz w:val="24"/>
                <w:szCs w:val="24"/>
              </w:rPr>
              <w:t>zoning is discriminatory and therefore must be altered. All this makes the work of the nonprofit</w:t>
            </w:r>
            <w:r w:rsidR="00E73B23" w:rsidRPr="00314229">
              <w:rPr>
                <w:rFonts w:cstheme="minorHAnsi"/>
                <w:sz w:val="24"/>
                <w:szCs w:val="24"/>
              </w:rPr>
              <w:t xml:space="preserve"> </w:t>
            </w:r>
            <w:r w:rsidRPr="00314229">
              <w:rPr>
                <w:rFonts w:cstheme="minorHAnsi"/>
                <w:sz w:val="24"/>
                <w:szCs w:val="24"/>
              </w:rPr>
              <w:t>housing developer very difficult. Additionally, for years we were able to show that affordable</w:t>
            </w:r>
            <w:r w:rsidR="00E73B23" w:rsidRPr="00314229">
              <w:rPr>
                <w:rFonts w:cstheme="minorHAnsi"/>
                <w:sz w:val="24"/>
                <w:szCs w:val="24"/>
              </w:rPr>
              <w:t xml:space="preserve"> </w:t>
            </w:r>
            <w:r w:rsidRPr="00314229">
              <w:rPr>
                <w:rFonts w:cstheme="minorHAnsi"/>
                <w:sz w:val="24"/>
                <w:szCs w:val="24"/>
              </w:rPr>
              <w:t xml:space="preserve">housing would benefit those already in the community. Now, without local </w:t>
            </w:r>
            <w:r w:rsidR="00E73B23" w:rsidRPr="00314229">
              <w:rPr>
                <w:rFonts w:cstheme="minorHAnsi"/>
                <w:sz w:val="24"/>
                <w:szCs w:val="24"/>
              </w:rPr>
              <w:t>referencing</w:t>
            </w:r>
            <w:r w:rsidRPr="00314229">
              <w:rPr>
                <w:rFonts w:cstheme="minorHAnsi"/>
                <w:sz w:val="24"/>
                <w:szCs w:val="24"/>
              </w:rPr>
              <w:t>, members</w:t>
            </w:r>
            <w:r w:rsidR="00E73B23" w:rsidRPr="00314229">
              <w:rPr>
                <w:rFonts w:cstheme="minorHAnsi"/>
                <w:sz w:val="24"/>
                <w:szCs w:val="24"/>
              </w:rPr>
              <w:t xml:space="preserve"> </w:t>
            </w:r>
            <w:r w:rsidRPr="00314229">
              <w:rPr>
                <w:rFonts w:cstheme="minorHAnsi"/>
                <w:sz w:val="24"/>
                <w:szCs w:val="24"/>
              </w:rPr>
              <w:t>of the community are very resistant.</w:t>
            </w:r>
          </w:p>
          <w:p w:rsidR="00B46B34" w:rsidRPr="00314229" w:rsidRDefault="00B46B34" w:rsidP="009245AE">
            <w:pPr>
              <w:rPr>
                <w:rFonts w:cstheme="minorHAnsi"/>
                <w:sz w:val="24"/>
                <w:szCs w:val="24"/>
              </w:rPr>
            </w:pPr>
          </w:p>
          <w:p w:rsidR="00B46B34" w:rsidRPr="00314229" w:rsidRDefault="00E73B23" w:rsidP="009245AE">
            <w:pPr>
              <w:rPr>
                <w:rFonts w:cstheme="minorHAnsi"/>
                <w:sz w:val="24"/>
                <w:szCs w:val="24"/>
              </w:rPr>
            </w:pPr>
            <w:r w:rsidRPr="00314229">
              <w:rPr>
                <w:rFonts w:cstheme="minorHAnsi"/>
                <w:noProof/>
                <w:sz w:val="24"/>
                <w:szCs w:val="24"/>
              </w:rPr>
              <w:drawing>
                <wp:inline distT="0" distB="0" distL="0" distR="0" wp14:anchorId="38A416D6" wp14:editId="0A0CF187">
                  <wp:extent cx="2218414" cy="3013322"/>
                  <wp:effectExtent l="0" t="0" r="0" b="0"/>
                  <wp:docPr id="2" name="Picture 2" descr="C:\Users\BDennis\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Dennis\Desktop\Captur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8497" cy="3013434"/>
                          </a:xfrm>
                          <a:prstGeom prst="rect">
                            <a:avLst/>
                          </a:prstGeom>
                          <a:noFill/>
                          <a:ln>
                            <a:noFill/>
                          </a:ln>
                        </pic:spPr>
                      </pic:pic>
                    </a:graphicData>
                  </a:graphic>
                </wp:inline>
              </w:drawing>
            </w:r>
            <w:r w:rsidRPr="00314229">
              <w:rPr>
                <w:rFonts w:cstheme="minorHAnsi"/>
                <w:noProof/>
                <w:sz w:val="24"/>
                <w:szCs w:val="24"/>
              </w:rPr>
              <w:drawing>
                <wp:inline distT="0" distB="0" distL="0" distR="0" wp14:anchorId="2D9A7D18" wp14:editId="1ABDCC46">
                  <wp:extent cx="2854430" cy="2894274"/>
                  <wp:effectExtent l="0" t="0" r="3175" b="1905"/>
                  <wp:docPr id="3" name="Picture 3" descr="C:\Users\BDennis\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Dennis\Desktop\Capture.PNG"/>
                          <pic:cNvPicPr>
                            <a:picLocks noChangeAspect="1" noChangeArrowheads="1"/>
                          </pic:cNvPicPr>
                        </pic:nvPicPr>
                        <pic:blipFill rotWithShape="1">
                          <a:blip r:embed="rId11">
                            <a:extLst>
                              <a:ext uri="{28A0092B-C50C-407E-A947-70E740481C1C}">
                                <a14:useLocalDpi xmlns:a14="http://schemas.microsoft.com/office/drawing/2010/main" val="0"/>
                              </a:ext>
                            </a:extLst>
                          </a:blip>
                          <a:srcRect b="20697"/>
                          <a:stretch/>
                        </pic:blipFill>
                        <pic:spPr bwMode="auto">
                          <a:xfrm>
                            <a:off x="0" y="0"/>
                            <a:ext cx="2854445" cy="2894289"/>
                          </a:xfrm>
                          <a:prstGeom prst="rect">
                            <a:avLst/>
                          </a:prstGeom>
                          <a:noFill/>
                          <a:ln>
                            <a:noFill/>
                          </a:ln>
                          <a:extLst>
                            <a:ext uri="{53640926-AAD7-44D8-BBD7-CCE9431645EC}">
                              <a14:shadowObscured xmlns:a14="http://schemas.microsoft.com/office/drawing/2010/main"/>
                            </a:ext>
                          </a:extLst>
                        </pic:spPr>
                      </pic:pic>
                    </a:graphicData>
                  </a:graphic>
                </wp:inline>
              </w:drawing>
            </w:r>
          </w:p>
          <w:p w:rsidR="00695ECC" w:rsidRPr="00314229" w:rsidRDefault="00695ECC" w:rsidP="005A6C99">
            <w:pPr>
              <w:rPr>
                <w:rFonts w:cstheme="minorHAnsi"/>
                <w:b/>
                <w:sz w:val="24"/>
                <w:szCs w:val="24"/>
                <w:u w:val="single"/>
              </w:rPr>
            </w:pPr>
          </w:p>
          <w:p w:rsidR="00695ECC" w:rsidRPr="00314229" w:rsidRDefault="00695ECC" w:rsidP="005A6C99">
            <w:pPr>
              <w:rPr>
                <w:rFonts w:cstheme="minorHAnsi"/>
                <w:b/>
                <w:sz w:val="24"/>
                <w:szCs w:val="24"/>
                <w:u w:val="single"/>
              </w:rPr>
            </w:pPr>
          </w:p>
          <w:p w:rsidR="00695ECC" w:rsidRPr="00314229" w:rsidRDefault="00695ECC" w:rsidP="005A6C99">
            <w:pPr>
              <w:rPr>
                <w:rFonts w:cstheme="minorHAnsi"/>
                <w:b/>
                <w:sz w:val="24"/>
                <w:szCs w:val="24"/>
                <w:u w:val="single"/>
              </w:rPr>
            </w:pPr>
          </w:p>
          <w:p w:rsidR="00EB6C3B" w:rsidRPr="00314229" w:rsidRDefault="00EB6C3B" w:rsidP="005A6C99">
            <w:pPr>
              <w:rPr>
                <w:rFonts w:cstheme="minorHAnsi"/>
                <w:b/>
                <w:sz w:val="24"/>
                <w:szCs w:val="24"/>
                <w:u w:val="single"/>
              </w:rPr>
            </w:pPr>
            <w:r w:rsidRPr="00314229">
              <w:rPr>
                <w:rFonts w:cstheme="minorHAnsi"/>
                <w:b/>
                <w:sz w:val="24"/>
                <w:szCs w:val="24"/>
                <w:u w:val="single"/>
              </w:rPr>
              <w:t>Please provide a</w:t>
            </w:r>
            <w:r w:rsidR="00A15DDC" w:rsidRPr="00314229">
              <w:rPr>
                <w:rFonts w:cstheme="minorHAnsi"/>
                <w:b/>
                <w:sz w:val="24"/>
                <w:szCs w:val="24"/>
                <w:u w:val="single"/>
              </w:rPr>
              <w:t>n</w:t>
            </w:r>
            <w:r w:rsidRPr="00314229">
              <w:rPr>
                <w:rFonts w:cstheme="minorHAnsi"/>
                <w:b/>
                <w:sz w:val="24"/>
                <w:szCs w:val="24"/>
                <w:u w:val="single"/>
              </w:rPr>
              <w:t xml:space="preserve"> u</w:t>
            </w:r>
            <w:r w:rsidR="009245AE" w:rsidRPr="00314229">
              <w:rPr>
                <w:rFonts w:cstheme="minorHAnsi"/>
                <w:b/>
                <w:sz w:val="24"/>
                <w:szCs w:val="24"/>
                <w:u w:val="single"/>
              </w:rPr>
              <w:t>pdate with</w:t>
            </w:r>
            <w:r w:rsidRPr="00314229">
              <w:rPr>
                <w:rFonts w:cstheme="minorHAnsi"/>
                <w:b/>
                <w:sz w:val="24"/>
                <w:szCs w:val="24"/>
                <w:u w:val="single"/>
              </w:rPr>
              <w:t xml:space="preserve"> regards to the project’s</w:t>
            </w:r>
            <w:r w:rsidR="009245AE" w:rsidRPr="00314229">
              <w:rPr>
                <w:rFonts w:cstheme="minorHAnsi"/>
                <w:b/>
                <w:sz w:val="24"/>
                <w:szCs w:val="24"/>
                <w:u w:val="single"/>
              </w:rPr>
              <w:t xml:space="preserve"> </w:t>
            </w:r>
            <w:r w:rsidRPr="00314229">
              <w:rPr>
                <w:rFonts w:cstheme="minorHAnsi"/>
                <w:b/>
                <w:sz w:val="24"/>
                <w:szCs w:val="24"/>
                <w:u w:val="single"/>
              </w:rPr>
              <w:t>m</w:t>
            </w:r>
            <w:r w:rsidR="009245AE" w:rsidRPr="00314229">
              <w:rPr>
                <w:rFonts w:cstheme="minorHAnsi"/>
                <w:b/>
                <w:sz w:val="24"/>
                <w:szCs w:val="24"/>
                <w:u w:val="single"/>
              </w:rPr>
              <w:t>atch/</w:t>
            </w:r>
            <w:r w:rsidRPr="00314229">
              <w:rPr>
                <w:rFonts w:cstheme="minorHAnsi"/>
                <w:b/>
                <w:sz w:val="24"/>
                <w:szCs w:val="24"/>
                <w:u w:val="single"/>
              </w:rPr>
              <w:t>l</w:t>
            </w:r>
            <w:r w:rsidR="009245AE" w:rsidRPr="00314229">
              <w:rPr>
                <w:rFonts w:cstheme="minorHAnsi"/>
                <w:b/>
                <w:sz w:val="24"/>
                <w:szCs w:val="24"/>
                <w:u w:val="single"/>
              </w:rPr>
              <w:t xml:space="preserve">everage </w:t>
            </w:r>
            <w:r w:rsidRPr="00314229">
              <w:rPr>
                <w:rFonts w:cstheme="minorHAnsi"/>
                <w:b/>
                <w:sz w:val="24"/>
                <w:szCs w:val="24"/>
                <w:u w:val="single"/>
              </w:rPr>
              <w:t>commitments.</w:t>
            </w:r>
          </w:p>
          <w:p w:rsidR="00A15DDC" w:rsidRPr="00314229" w:rsidRDefault="00373698" w:rsidP="00EB6C3B">
            <w:pPr>
              <w:spacing w:after="200" w:line="276" w:lineRule="auto"/>
              <w:rPr>
                <w:rFonts w:cstheme="minorHAnsi"/>
                <w:sz w:val="24"/>
                <w:szCs w:val="24"/>
              </w:rPr>
            </w:pPr>
            <w:r w:rsidRPr="00314229">
              <w:rPr>
                <w:rFonts w:cstheme="minorHAnsi"/>
                <w:sz w:val="24"/>
                <w:szCs w:val="24"/>
              </w:rPr>
              <w:t>The Consortium has achieved and exceeded its required match.</w:t>
            </w:r>
          </w:p>
          <w:p w:rsidR="00E8022D" w:rsidRPr="00314229" w:rsidRDefault="00E8022D" w:rsidP="00EB6C3B">
            <w:pPr>
              <w:rPr>
                <w:rFonts w:cstheme="minorHAnsi"/>
                <w:b/>
                <w:sz w:val="24"/>
                <w:szCs w:val="24"/>
                <w:u w:val="single"/>
              </w:rPr>
            </w:pPr>
          </w:p>
          <w:p w:rsidR="009245AE" w:rsidRPr="00314229" w:rsidRDefault="00EB6C3B" w:rsidP="005A6C99">
            <w:pPr>
              <w:rPr>
                <w:rFonts w:cstheme="minorHAnsi"/>
                <w:b/>
                <w:sz w:val="24"/>
                <w:szCs w:val="24"/>
                <w:u w:val="single"/>
              </w:rPr>
            </w:pPr>
            <w:r w:rsidRPr="00314229">
              <w:rPr>
                <w:rFonts w:cstheme="minorHAnsi"/>
                <w:b/>
                <w:sz w:val="24"/>
                <w:szCs w:val="24"/>
                <w:u w:val="single"/>
              </w:rPr>
              <w:t>Please identify newly developed or existing c</w:t>
            </w:r>
            <w:r w:rsidR="009245AE" w:rsidRPr="00314229">
              <w:rPr>
                <w:rFonts w:cstheme="minorHAnsi"/>
                <w:b/>
                <w:sz w:val="24"/>
                <w:szCs w:val="24"/>
                <w:u w:val="single"/>
              </w:rPr>
              <w:t>ollaborations</w:t>
            </w:r>
            <w:r w:rsidRPr="00314229">
              <w:rPr>
                <w:rFonts w:cstheme="minorHAnsi"/>
                <w:b/>
                <w:sz w:val="24"/>
                <w:szCs w:val="24"/>
                <w:u w:val="single"/>
              </w:rPr>
              <w:t xml:space="preserve"> and the progress they experienced during the reporting period.</w:t>
            </w:r>
          </w:p>
          <w:p w:rsidR="00841657" w:rsidRPr="00314229" w:rsidRDefault="00841657" w:rsidP="00841657">
            <w:pPr>
              <w:rPr>
                <w:rFonts w:cstheme="minorHAnsi"/>
                <w:sz w:val="24"/>
                <w:szCs w:val="24"/>
              </w:rPr>
            </w:pPr>
            <w:r w:rsidRPr="00314229">
              <w:rPr>
                <w:rFonts w:cstheme="minorHAnsi"/>
                <w:sz w:val="24"/>
                <w:szCs w:val="24"/>
              </w:rPr>
              <w:t>Regional Plan Association’s Fourth Regional Plan development process is building on the partnership created during the New York-Connecticut Sustainable Communities Consortium work. Several of the members of the FHEA Advisory Committee are part of the Fourth Regional Plan steering committee or topic-specific working groups. Consortium partners are helping to facilitate participation throughout the region via small group briefings, roundtables, and public forums.</w:t>
            </w:r>
          </w:p>
          <w:p w:rsidR="00841657" w:rsidRPr="00314229" w:rsidRDefault="00841657" w:rsidP="00841657">
            <w:pPr>
              <w:rPr>
                <w:rFonts w:cstheme="minorHAnsi"/>
                <w:sz w:val="24"/>
                <w:szCs w:val="24"/>
              </w:rPr>
            </w:pPr>
          </w:p>
          <w:p w:rsidR="00D33180" w:rsidRPr="00314229" w:rsidRDefault="00841657" w:rsidP="00841657">
            <w:pPr>
              <w:rPr>
                <w:rFonts w:cstheme="minorHAnsi"/>
                <w:b/>
                <w:sz w:val="24"/>
                <w:szCs w:val="24"/>
              </w:rPr>
            </w:pPr>
            <w:r w:rsidRPr="00314229">
              <w:rPr>
                <w:rFonts w:cstheme="minorHAnsi"/>
                <w:sz w:val="24"/>
                <w:szCs w:val="24"/>
              </w:rPr>
              <w:t>The Ford Foundation is also supporting ongoing research and support for implementing the recommendations of the FHEA Advisory Committee. A developer’s roundtable is scheduled for September 10, 2014, which will bring together developers to test the feasibility of the State of New York adopting a regional affordable housing mandate as New Jersey and Connecticut have. Ford is also holding similar discussions with civic organizations.</w:t>
            </w:r>
            <w:r w:rsidRPr="00314229">
              <w:rPr>
                <w:rFonts w:cstheme="minorHAnsi"/>
                <w:b/>
                <w:sz w:val="24"/>
                <w:szCs w:val="24"/>
              </w:rPr>
              <w:t xml:space="preserve"> </w:t>
            </w:r>
          </w:p>
          <w:p w:rsidR="00841657" w:rsidRPr="00314229" w:rsidRDefault="00841657" w:rsidP="00841657">
            <w:pPr>
              <w:rPr>
                <w:rFonts w:cstheme="minorHAnsi"/>
                <w:b/>
                <w:sz w:val="24"/>
                <w:szCs w:val="24"/>
              </w:rPr>
            </w:pPr>
          </w:p>
          <w:p w:rsidR="009245AE" w:rsidRPr="00314229" w:rsidRDefault="009245AE" w:rsidP="004D4661">
            <w:pPr>
              <w:rPr>
                <w:rFonts w:cstheme="minorHAnsi"/>
                <w:b/>
                <w:sz w:val="24"/>
                <w:szCs w:val="24"/>
                <w:u w:val="single"/>
              </w:rPr>
            </w:pPr>
            <w:r w:rsidRPr="00314229">
              <w:rPr>
                <w:rFonts w:cstheme="minorHAnsi"/>
                <w:b/>
                <w:sz w:val="24"/>
                <w:szCs w:val="24"/>
                <w:u w:val="single"/>
              </w:rPr>
              <w:t>P</w:t>
            </w:r>
            <w:r w:rsidR="00EB6C3B" w:rsidRPr="00314229">
              <w:rPr>
                <w:rFonts w:cstheme="minorHAnsi"/>
                <w:b/>
                <w:sz w:val="24"/>
                <w:szCs w:val="24"/>
                <w:u w:val="single"/>
              </w:rPr>
              <w:t>lease describe p</w:t>
            </w:r>
            <w:r w:rsidRPr="00314229">
              <w:rPr>
                <w:rFonts w:cstheme="minorHAnsi"/>
                <w:b/>
                <w:sz w:val="24"/>
                <w:szCs w:val="24"/>
                <w:u w:val="single"/>
              </w:rPr>
              <w:t xml:space="preserve">rogress with </w:t>
            </w:r>
            <w:r w:rsidR="00EB6C3B" w:rsidRPr="00314229">
              <w:rPr>
                <w:rFonts w:cstheme="minorHAnsi"/>
                <w:b/>
                <w:sz w:val="24"/>
                <w:szCs w:val="24"/>
                <w:u w:val="single"/>
              </w:rPr>
              <w:t>o</w:t>
            </w:r>
            <w:r w:rsidRPr="00314229">
              <w:rPr>
                <w:rFonts w:cstheme="minorHAnsi"/>
                <w:b/>
                <w:sz w:val="24"/>
                <w:szCs w:val="24"/>
                <w:u w:val="single"/>
              </w:rPr>
              <w:t>utreach</w:t>
            </w:r>
            <w:r w:rsidR="00EB6C3B" w:rsidRPr="00314229">
              <w:rPr>
                <w:rFonts w:cstheme="minorHAnsi"/>
                <w:b/>
                <w:sz w:val="24"/>
                <w:szCs w:val="24"/>
                <w:u w:val="single"/>
              </w:rPr>
              <w:t xml:space="preserve">, engagement, and decision-making </w:t>
            </w:r>
            <w:r w:rsidRPr="00314229">
              <w:rPr>
                <w:rFonts w:cstheme="minorHAnsi"/>
                <w:b/>
                <w:sz w:val="24"/>
                <w:szCs w:val="24"/>
                <w:u w:val="single"/>
              </w:rPr>
              <w:t xml:space="preserve"> </w:t>
            </w:r>
            <w:r w:rsidR="00EB6C3B" w:rsidRPr="00314229">
              <w:rPr>
                <w:rFonts w:cstheme="minorHAnsi"/>
                <w:b/>
                <w:sz w:val="24"/>
                <w:szCs w:val="24"/>
                <w:u w:val="single"/>
              </w:rPr>
              <w:t>a</w:t>
            </w:r>
            <w:r w:rsidRPr="00314229">
              <w:rPr>
                <w:rFonts w:cstheme="minorHAnsi"/>
                <w:b/>
                <w:sz w:val="24"/>
                <w:szCs w:val="24"/>
                <w:u w:val="single"/>
              </w:rPr>
              <w:t xml:space="preserve">ctivities </w:t>
            </w:r>
            <w:r w:rsidR="00EB6C3B" w:rsidRPr="00314229">
              <w:rPr>
                <w:rFonts w:cstheme="minorHAnsi"/>
                <w:b/>
                <w:sz w:val="24"/>
                <w:szCs w:val="24"/>
                <w:u w:val="single"/>
              </w:rPr>
              <w:t>t</w:t>
            </w:r>
            <w:r w:rsidRPr="00314229">
              <w:rPr>
                <w:rFonts w:cstheme="minorHAnsi"/>
                <w:b/>
                <w:sz w:val="24"/>
                <w:szCs w:val="24"/>
                <w:u w:val="single"/>
              </w:rPr>
              <w:t xml:space="preserve">argeting </w:t>
            </w:r>
            <w:r w:rsidR="00EB6C3B" w:rsidRPr="00314229">
              <w:rPr>
                <w:rFonts w:cstheme="minorHAnsi"/>
                <w:b/>
                <w:sz w:val="24"/>
                <w:szCs w:val="24"/>
                <w:u w:val="single"/>
              </w:rPr>
              <w:t xml:space="preserve"> populations t</w:t>
            </w:r>
            <w:r w:rsidRPr="00314229">
              <w:rPr>
                <w:rFonts w:cstheme="minorHAnsi"/>
                <w:b/>
                <w:sz w:val="24"/>
                <w:szCs w:val="24"/>
                <w:u w:val="single"/>
              </w:rPr>
              <w:t xml:space="preserve">raditionally </w:t>
            </w:r>
            <w:r w:rsidR="00EB6C3B" w:rsidRPr="00314229">
              <w:rPr>
                <w:rFonts w:cstheme="minorHAnsi"/>
                <w:b/>
                <w:sz w:val="24"/>
                <w:szCs w:val="24"/>
                <w:u w:val="single"/>
              </w:rPr>
              <w:t>m</w:t>
            </w:r>
            <w:r w:rsidRPr="00314229">
              <w:rPr>
                <w:rFonts w:cstheme="minorHAnsi"/>
                <w:b/>
                <w:sz w:val="24"/>
                <w:szCs w:val="24"/>
                <w:u w:val="single"/>
              </w:rPr>
              <w:t xml:space="preserve">arginalized </w:t>
            </w:r>
            <w:r w:rsidR="00EB6C3B" w:rsidRPr="00314229">
              <w:rPr>
                <w:rFonts w:cstheme="minorHAnsi"/>
                <w:b/>
                <w:sz w:val="24"/>
                <w:szCs w:val="24"/>
                <w:u w:val="single"/>
              </w:rPr>
              <w:t>in the planning process</w:t>
            </w:r>
            <w:r w:rsidR="00E50B85" w:rsidRPr="00314229">
              <w:rPr>
                <w:rFonts w:cstheme="minorHAnsi"/>
                <w:b/>
                <w:sz w:val="24"/>
                <w:szCs w:val="24"/>
                <w:u w:val="single"/>
              </w:rPr>
              <w:t xml:space="preserve"> (include costs spent on these activities)</w:t>
            </w:r>
            <w:r w:rsidRPr="00314229">
              <w:rPr>
                <w:rFonts w:cstheme="minorHAnsi"/>
                <w:b/>
                <w:sz w:val="24"/>
                <w:szCs w:val="24"/>
                <w:u w:val="single"/>
              </w:rPr>
              <w:t>:</w:t>
            </w:r>
          </w:p>
          <w:p w:rsidR="00094993" w:rsidRPr="00314229" w:rsidRDefault="00094993" w:rsidP="002F0F76">
            <w:pPr>
              <w:pStyle w:val="ListParagraph"/>
              <w:ind w:left="0"/>
              <w:rPr>
                <w:rFonts w:cstheme="minorHAnsi"/>
                <w:sz w:val="24"/>
                <w:szCs w:val="24"/>
              </w:rPr>
            </w:pPr>
          </w:p>
          <w:p w:rsidR="009245AE" w:rsidRPr="00314229" w:rsidRDefault="00841657" w:rsidP="002F0F76">
            <w:pPr>
              <w:pStyle w:val="ListParagraph"/>
              <w:ind w:left="0"/>
              <w:rPr>
                <w:rFonts w:cstheme="minorHAnsi"/>
                <w:b/>
                <w:sz w:val="24"/>
                <w:szCs w:val="24"/>
                <w:u w:val="single"/>
              </w:rPr>
            </w:pPr>
            <w:r w:rsidRPr="00314229">
              <w:rPr>
                <w:rFonts w:cstheme="minorHAnsi"/>
                <w:sz w:val="24"/>
                <w:szCs w:val="24"/>
              </w:rPr>
              <w:t>Outreach in the last six months focused on the distribution and completion of the Fair Housing and Equity Analysis and Regional Implementation Plan. Drafts of these documents were made available to the public for 30 days prior to adoption. Comments could be submitted in writing, in person at two public meetings held specifically for this purpose, or online via webinar concurrent to the in-person meetings.</w:t>
            </w:r>
          </w:p>
        </w:tc>
      </w:tr>
    </w:tbl>
    <w:p w:rsidR="004037D9" w:rsidRDefault="004037D9" w:rsidP="009245AE">
      <w:pPr>
        <w:pStyle w:val="ListParagraph"/>
        <w:ind w:left="1080"/>
        <w:rPr>
          <w:rFonts w:ascii="Garamond" w:hAnsi="Garamond" w:cstheme="minorHAnsi"/>
          <w:b/>
          <w:sz w:val="24"/>
          <w:szCs w:val="24"/>
          <w:u w:val="single"/>
        </w:rPr>
      </w:pPr>
    </w:p>
    <w:p w:rsidR="004037D9" w:rsidRDefault="004037D9">
      <w:pPr>
        <w:rPr>
          <w:rFonts w:ascii="Garamond" w:hAnsi="Garamond" w:cstheme="minorHAnsi"/>
          <w:b/>
          <w:sz w:val="24"/>
          <w:szCs w:val="24"/>
          <w:u w:val="single"/>
        </w:rPr>
      </w:pPr>
      <w:r>
        <w:rPr>
          <w:rFonts w:ascii="Garamond" w:hAnsi="Garamond" w:cstheme="minorHAnsi"/>
          <w:b/>
          <w:sz w:val="24"/>
          <w:szCs w:val="24"/>
          <w:u w:val="single"/>
        </w:rPr>
        <w:br w:type="page"/>
      </w: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CHALLENGES AND EFFORTS TO OVERCOME THEM:</w:t>
      </w:r>
    </w:p>
    <w:tbl>
      <w:tblPr>
        <w:tblStyle w:val="TableGrid"/>
        <w:tblW w:w="9900" w:type="dxa"/>
        <w:tblInd w:w="18" w:type="dxa"/>
        <w:tblLook w:val="04A0" w:firstRow="1" w:lastRow="0" w:firstColumn="1" w:lastColumn="0" w:noHBand="0" w:noVBand="1"/>
      </w:tblPr>
      <w:tblGrid>
        <w:gridCol w:w="9900"/>
      </w:tblGrid>
      <w:tr w:rsidR="009245AE" w:rsidRPr="00EB6C3B" w:rsidTr="00700373">
        <w:trPr>
          <w:trHeight w:val="8342"/>
        </w:trPr>
        <w:tc>
          <w:tcPr>
            <w:tcW w:w="9900" w:type="dxa"/>
          </w:tcPr>
          <w:p w:rsidR="009245AE" w:rsidRPr="004D4661" w:rsidRDefault="009245AE" w:rsidP="004D4661">
            <w:pPr>
              <w:ind w:left="360"/>
              <w:rPr>
                <w:rFonts w:ascii="Garamond" w:hAnsi="Garamond" w:cstheme="minorHAnsi"/>
                <w:b/>
                <w:sz w:val="24"/>
                <w:szCs w:val="24"/>
                <w:u w:val="single"/>
              </w:rPr>
            </w:pPr>
            <w:r w:rsidRPr="004D4661">
              <w:rPr>
                <w:rFonts w:ascii="Garamond" w:hAnsi="Garamond" w:cstheme="minorHAnsi"/>
                <w:b/>
                <w:sz w:val="24"/>
                <w:szCs w:val="24"/>
                <w:u w:val="single"/>
              </w:rPr>
              <w:t>Scheduled Milestones/Targets that were not achieved:</w:t>
            </w:r>
          </w:p>
          <w:p w:rsidR="00E50B85" w:rsidRDefault="001C0EF3" w:rsidP="004F09FA">
            <w:pPr>
              <w:pStyle w:val="ListParagraph"/>
              <w:ind w:left="0"/>
              <w:rPr>
                <w:rFonts w:ascii="Garamond" w:hAnsi="Garamond" w:cstheme="minorHAnsi"/>
                <w:sz w:val="24"/>
                <w:szCs w:val="24"/>
              </w:rPr>
            </w:pPr>
            <w:r w:rsidRPr="001C0EF3">
              <w:rPr>
                <w:rFonts w:ascii="Garamond" w:hAnsi="Garamond" w:cstheme="minorHAnsi"/>
                <w:sz w:val="24"/>
                <w:szCs w:val="24"/>
              </w:rPr>
              <w:t xml:space="preserve">The Sustainable Communities program concluded </w:t>
            </w:r>
            <w:r w:rsidR="004F09FA">
              <w:rPr>
                <w:rFonts w:ascii="Garamond" w:hAnsi="Garamond" w:cstheme="minorHAnsi"/>
                <w:sz w:val="24"/>
                <w:szCs w:val="24"/>
              </w:rPr>
              <w:t>with the approval of its Implementation Plan for Regional Sustainable Development on May 30, 2014.</w:t>
            </w:r>
          </w:p>
          <w:p w:rsidR="004F09FA" w:rsidRPr="00EB6C3B" w:rsidRDefault="004F09FA" w:rsidP="004F09FA">
            <w:pPr>
              <w:pStyle w:val="ListParagraph"/>
              <w:ind w:left="0"/>
              <w:rPr>
                <w:rFonts w:ascii="Garamond" w:hAnsi="Garamond" w:cstheme="minorHAnsi"/>
                <w:b/>
                <w:sz w:val="24"/>
                <w:szCs w:val="24"/>
              </w:rPr>
            </w:pPr>
          </w:p>
          <w:p w:rsidR="009245AE" w:rsidRPr="00FD6D57" w:rsidRDefault="009245AE" w:rsidP="00FD6D57">
            <w:pPr>
              <w:rPr>
                <w:rFonts w:ascii="Garamond" w:hAnsi="Garamond" w:cstheme="minorHAnsi"/>
                <w:b/>
                <w:sz w:val="24"/>
                <w:szCs w:val="24"/>
                <w:u w:val="single"/>
              </w:rPr>
            </w:pPr>
            <w:r w:rsidRPr="00FD6D57">
              <w:rPr>
                <w:rFonts w:ascii="Garamond" w:hAnsi="Garamond" w:cstheme="minorHAnsi"/>
                <w:b/>
                <w:sz w:val="24"/>
                <w:szCs w:val="24"/>
                <w:u w:val="single"/>
              </w:rPr>
              <w:t>Management deficiencies:</w:t>
            </w:r>
          </w:p>
          <w:p w:rsidR="003D0C20" w:rsidRPr="00FD6D57" w:rsidRDefault="00FD6D57" w:rsidP="003D0C20">
            <w:pPr>
              <w:rPr>
                <w:rFonts w:ascii="Garamond" w:hAnsi="Garamond" w:cstheme="minorHAnsi"/>
                <w:sz w:val="24"/>
                <w:szCs w:val="24"/>
              </w:rPr>
            </w:pPr>
            <w:r w:rsidRPr="00FD6D57">
              <w:rPr>
                <w:rFonts w:ascii="Garamond" w:hAnsi="Garamond" w:cstheme="minorHAnsi"/>
                <w:sz w:val="24"/>
                <w:szCs w:val="24"/>
              </w:rPr>
              <w:t>N/A</w:t>
            </w:r>
          </w:p>
          <w:p w:rsidR="00E50B85" w:rsidRPr="00EB6C3B" w:rsidRDefault="00E50B85" w:rsidP="009245AE">
            <w:pPr>
              <w:pStyle w:val="ListParagraph"/>
              <w:ind w:left="1080"/>
              <w:rPr>
                <w:rFonts w:ascii="Garamond" w:hAnsi="Garamond" w:cstheme="minorHAnsi"/>
                <w:b/>
                <w:sz w:val="24"/>
                <w:szCs w:val="24"/>
              </w:rPr>
            </w:pPr>
          </w:p>
          <w:p w:rsidR="009245AE" w:rsidRPr="00FD6D57" w:rsidRDefault="009245AE" w:rsidP="00FD6D57">
            <w:pPr>
              <w:rPr>
                <w:rFonts w:ascii="Garamond" w:hAnsi="Garamond" w:cstheme="minorHAnsi"/>
                <w:b/>
                <w:sz w:val="24"/>
                <w:szCs w:val="24"/>
                <w:u w:val="single"/>
              </w:rPr>
            </w:pPr>
            <w:r w:rsidRPr="00FD6D57">
              <w:rPr>
                <w:rFonts w:ascii="Garamond" w:hAnsi="Garamond" w:cstheme="minorHAnsi"/>
                <w:b/>
                <w:sz w:val="24"/>
                <w:szCs w:val="24"/>
                <w:u w:val="single"/>
              </w:rPr>
              <w:t>Deviations from the Work Plan</w:t>
            </w:r>
          </w:p>
          <w:p w:rsidR="00A729F6" w:rsidRPr="00FD6D57" w:rsidRDefault="00FD6D57" w:rsidP="00FD6D57">
            <w:pPr>
              <w:rPr>
                <w:rFonts w:ascii="Garamond" w:hAnsi="Garamond" w:cstheme="minorHAnsi"/>
                <w:sz w:val="24"/>
                <w:szCs w:val="24"/>
              </w:rPr>
            </w:pPr>
            <w:r w:rsidRPr="00FD6D57">
              <w:rPr>
                <w:rFonts w:ascii="Garamond" w:hAnsi="Garamond" w:cstheme="minorHAnsi"/>
                <w:sz w:val="24"/>
                <w:szCs w:val="24"/>
              </w:rPr>
              <w:t>N/A</w:t>
            </w:r>
          </w:p>
          <w:p w:rsidR="00FD6D57" w:rsidRDefault="00FD6D57" w:rsidP="00FD6D57">
            <w:pPr>
              <w:rPr>
                <w:rFonts w:ascii="Garamond" w:hAnsi="Garamond" w:cstheme="minorHAnsi"/>
                <w:b/>
                <w:sz w:val="24"/>
                <w:szCs w:val="24"/>
                <w:u w:val="single"/>
              </w:rPr>
            </w:pPr>
          </w:p>
          <w:p w:rsidR="00F908A3" w:rsidRDefault="002F6912" w:rsidP="002E7169">
            <w:pPr>
              <w:rPr>
                <w:rFonts w:ascii="Garamond" w:hAnsi="Garamond" w:cstheme="minorHAnsi"/>
                <w:b/>
                <w:sz w:val="24"/>
                <w:szCs w:val="24"/>
                <w:u w:val="single"/>
              </w:rPr>
            </w:pPr>
            <w:r w:rsidRPr="00FD6D57">
              <w:rPr>
                <w:rFonts w:ascii="Garamond" w:hAnsi="Garamond" w:cstheme="minorHAnsi"/>
                <w:b/>
                <w:sz w:val="24"/>
                <w:szCs w:val="24"/>
                <w:u w:val="single"/>
              </w:rPr>
              <w:t>Detail the</w:t>
            </w:r>
            <w:r w:rsidR="00A729F6" w:rsidRPr="00FD6D57">
              <w:rPr>
                <w:rFonts w:ascii="Garamond" w:hAnsi="Garamond" w:cstheme="minorHAnsi"/>
                <w:b/>
                <w:sz w:val="24"/>
                <w:szCs w:val="24"/>
                <w:u w:val="single"/>
              </w:rPr>
              <w:t xml:space="preserve"> actions you will take to address</w:t>
            </w:r>
            <w:r w:rsidR="002B224D" w:rsidRPr="00FD6D57">
              <w:rPr>
                <w:rFonts w:ascii="Garamond" w:hAnsi="Garamond" w:cstheme="minorHAnsi"/>
                <w:b/>
                <w:sz w:val="24"/>
                <w:szCs w:val="24"/>
                <w:u w:val="single"/>
              </w:rPr>
              <w:t xml:space="preserve"> identified deficiencies or </w:t>
            </w:r>
            <w:proofErr w:type="spellStart"/>
            <w:r w:rsidR="002B224D" w:rsidRPr="00FD6D57">
              <w:rPr>
                <w:rFonts w:ascii="Garamond" w:hAnsi="Garamond" w:cstheme="minorHAnsi"/>
                <w:b/>
                <w:sz w:val="24"/>
                <w:szCs w:val="24"/>
                <w:u w:val="single"/>
              </w:rPr>
              <w:t>workplan</w:t>
            </w:r>
            <w:proofErr w:type="spellEnd"/>
            <w:r w:rsidR="002B224D" w:rsidRPr="00FD6D57">
              <w:rPr>
                <w:rFonts w:ascii="Garamond" w:hAnsi="Garamond" w:cstheme="minorHAnsi"/>
                <w:b/>
                <w:sz w:val="24"/>
                <w:szCs w:val="24"/>
                <w:u w:val="single"/>
              </w:rPr>
              <w:t xml:space="preserve"> deviations described above </w:t>
            </w:r>
            <w:r w:rsidR="00A729F6" w:rsidRPr="00FD6D57">
              <w:rPr>
                <w:rFonts w:ascii="Garamond" w:hAnsi="Garamond" w:cstheme="minorHAnsi"/>
                <w:b/>
                <w:sz w:val="24"/>
                <w:szCs w:val="24"/>
                <w:u w:val="single"/>
              </w:rPr>
              <w:t xml:space="preserve">(include what is to be done, who is responsible, and when it is due).  </w:t>
            </w:r>
          </w:p>
          <w:p w:rsidR="004F09FA" w:rsidRPr="004F09FA" w:rsidRDefault="004F09FA" w:rsidP="002E7169">
            <w:pPr>
              <w:rPr>
                <w:rFonts w:ascii="Garamond" w:hAnsi="Garamond" w:cstheme="minorHAnsi"/>
                <w:b/>
                <w:sz w:val="24"/>
                <w:szCs w:val="24"/>
                <w:u w:val="single"/>
              </w:rPr>
            </w:pPr>
            <w:r w:rsidRPr="004F09FA">
              <w:rPr>
                <w:rFonts w:ascii="Garamond" w:hAnsi="Garamond" w:cstheme="minorHAnsi"/>
                <w:sz w:val="24"/>
                <w:szCs w:val="24"/>
              </w:rPr>
              <w:t>N/A</w:t>
            </w:r>
          </w:p>
        </w:tc>
      </w:tr>
    </w:tbl>
    <w:p w:rsidR="00E50B85" w:rsidRDefault="00E50B85" w:rsidP="00E50B85">
      <w:pPr>
        <w:pStyle w:val="ListParagraph"/>
        <w:ind w:left="1080"/>
        <w:rPr>
          <w:rFonts w:ascii="Garamond" w:hAnsi="Garamond" w:cstheme="minorHAnsi"/>
          <w:b/>
          <w:sz w:val="24"/>
          <w:szCs w:val="24"/>
          <w:u w:val="single"/>
        </w:rPr>
      </w:pPr>
    </w:p>
    <w:p w:rsidR="005161BD" w:rsidRDefault="005161BD">
      <w:pPr>
        <w:rPr>
          <w:rFonts w:ascii="Garamond" w:hAnsi="Garamond" w:cstheme="minorHAnsi"/>
          <w:b/>
          <w:sz w:val="24"/>
          <w:szCs w:val="24"/>
          <w:u w:val="single"/>
        </w:rPr>
      </w:pPr>
      <w:r>
        <w:rPr>
          <w:rFonts w:ascii="Garamond" w:hAnsi="Garamond" w:cstheme="minorHAnsi"/>
          <w:b/>
          <w:sz w:val="24"/>
          <w:szCs w:val="24"/>
          <w:u w:val="single"/>
        </w:rPr>
        <w:br w:type="page"/>
      </w:r>
    </w:p>
    <w:p w:rsidR="00EB6C3B" w:rsidRPr="00EB6C3B" w:rsidRDefault="00EB6C3B"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ANALYSIS OF WORK TO DATE</w:t>
      </w:r>
    </w:p>
    <w:p w:rsidR="004037D9" w:rsidRDefault="00EB6C3B" w:rsidP="004037D9">
      <w:pPr>
        <w:rPr>
          <w:rFonts w:ascii="Garamond" w:hAnsi="Garamond"/>
          <w:i/>
          <w:iCs/>
          <w:color w:val="000000"/>
          <w:sz w:val="24"/>
          <w:szCs w:val="24"/>
        </w:rPr>
      </w:pPr>
      <w:r w:rsidRPr="00D41042">
        <w:rPr>
          <w:rFonts w:ascii="Garamond" w:eastAsia="Times New Roman" w:hAnsi="Garamond" w:cs="Times New Roman"/>
          <w:b/>
          <w:bCs/>
          <w:color w:val="000000"/>
          <w:sz w:val="24"/>
          <w:szCs w:val="24"/>
        </w:rPr>
        <w:t>What lessons are you learning as you move forward that will strengthen this process?</w:t>
      </w:r>
      <w:r w:rsidR="004037D9" w:rsidRPr="004037D9">
        <w:rPr>
          <w:rFonts w:ascii="Garamond" w:hAnsi="Garamond"/>
          <w:i/>
          <w:iCs/>
          <w:color w:val="000000"/>
          <w:sz w:val="24"/>
          <w:szCs w:val="24"/>
        </w:rPr>
        <w:t xml:space="preserve"> </w:t>
      </w:r>
      <w:r w:rsidR="004037D9">
        <w:rPr>
          <w:rFonts w:ascii="Garamond" w:hAnsi="Garamond"/>
          <w:i/>
          <w:iCs/>
          <w:color w:val="000000"/>
          <w:sz w:val="24"/>
          <w:szCs w:val="24"/>
        </w:rPr>
        <w:t>What assumptions about planning for sustainability are being confirmed and which are being challenged as you move forward? Can you apply these lessons into your work in real time?</w:t>
      </w:r>
    </w:p>
    <w:p w:rsidR="00562CDA" w:rsidRPr="004037D9" w:rsidRDefault="00562CDA" w:rsidP="00D41042">
      <w:pPr>
        <w:rPr>
          <w:rFonts w:ascii="Garamond" w:eastAsia="Times New Roman" w:hAnsi="Garamond" w:cs="Times New Roman"/>
          <w:color w:val="000000"/>
          <w:sz w:val="24"/>
          <w:szCs w:val="24"/>
        </w:rPr>
      </w:pPr>
      <w:r w:rsidRPr="004037D9">
        <w:rPr>
          <w:rFonts w:ascii="Garamond" w:eastAsia="Times New Roman" w:hAnsi="Garamond" w:cs="Times New Roman"/>
          <w:color w:val="000000"/>
          <w:sz w:val="24"/>
          <w:szCs w:val="24"/>
        </w:rPr>
        <w:t xml:space="preserve">The Implementation Plan and FHEA consider the value of TOD equitable development. In an unprecedented effort, the Consortium convened multiple agencies from New York and Connecticut develops a conversation in impediments in coordinated development and fair housing. The discussions marked the beginning of new relationships among </w:t>
      </w:r>
      <w:r w:rsidR="004037D9">
        <w:rPr>
          <w:rFonts w:ascii="Garamond" w:eastAsia="Times New Roman" w:hAnsi="Garamond" w:cs="Times New Roman"/>
          <w:color w:val="000000"/>
          <w:sz w:val="24"/>
          <w:szCs w:val="24"/>
        </w:rPr>
        <w:t>these</w:t>
      </w:r>
      <w:r w:rsidR="004037D9" w:rsidRPr="004037D9">
        <w:rPr>
          <w:rFonts w:ascii="Garamond" w:eastAsia="Times New Roman" w:hAnsi="Garamond" w:cs="Times New Roman"/>
          <w:color w:val="000000"/>
          <w:sz w:val="24"/>
          <w:szCs w:val="24"/>
        </w:rPr>
        <w:t xml:space="preserve"> organizations</w:t>
      </w:r>
      <w:r w:rsidRPr="004037D9">
        <w:rPr>
          <w:rFonts w:ascii="Garamond" w:eastAsia="Times New Roman" w:hAnsi="Garamond" w:cs="Times New Roman"/>
          <w:color w:val="000000"/>
          <w:sz w:val="24"/>
          <w:szCs w:val="24"/>
        </w:rPr>
        <w:t xml:space="preserve"> after the consortium grant period. </w:t>
      </w:r>
      <w:r w:rsidR="004037D9">
        <w:rPr>
          <w:rFonts w:ascii="Garamond" w:eastAsia="Times New Roman" w:hAnsi="Garamond" w:cs="Times New Roman"/>
          <w:color w:val="000000"/>
          <w:sz w:val="24"/>
          <w:szCs w:val="24"/>
        </w:rPr>
        <w:t xml:space="preserve">The relationships are very important in breaking down </w:t>
      </w:r>
      <w:proofErr w:type="spellStart"/>
      <w:r w:rsidR="004037D9">
        <w:rPr>
          <w:rFonts w:ascii="Garamond" w:eastAsia="Times New Roman" w:hAnsi="Garamond" w:cs="Times New Roman"/>
          <w:color w:val="000000"/>
          <w:sz w:val="24"/>
          <w:szCs w:val="24"/>
        </w:rPr>
        <w:t>siloed</w:t>
      </w:r>
      <w:proofErr w:type="spellEnd"/>
      <w:r w:rsidR="004037D9">
        <w:rPr>
          <w:rFonts w:ascii="Garamond" w:eastAsia="Times New Roman" w:hAnsi="Garamond" w:cs="Times New Roman"/>
          <w:color w:val="000000"/>
          <w:sz w:val="24"/>
          <w:szCs w:val="24"/>
        </w:rPr>
        <w:t xml:space="preserve"> planning fostering coordination and implementation of projects that can effect change in our region. We continue to apply this lesson. Our consortium members, after HUD funding, still continue to communicate on other related planning initiatives catalyzed by the NY-CT program.  Consortium continues to communicate with North Jersey Consortium, which is in its last year of HUD funding, and hopes for greater collaboration after the expiration of their grant period.  </w:t>
      </w:r>
    </w:p>
    <w:p w:rsidR="00EB6C3B" w:rsidRPr="00D41042" w:rsidRDefault="00EB6C3B" w:rsidP="004F09FA">
      <w:pPr>
        <w:spacing w:after="0"/>
        <w:rPr>
          <w:rFonts w:ascii="Garamond" w:hAnsi="Garamond" w:cstheme="minorHAnsi"/>
          <w:b/>
          <w:sz w:val="24"/>
          <w:szCs w:val="24"/>
          <w:u w:val="single"/>
        </w:rPr>
      </w:pPr>
      <w:r w:rsidRPr="00D41042">
        <w:rPr>
          <w:rFonts w:ascii="Garamond" w:eastAsia="Times New Roman" w:hAnsi="Garamond" w:cs="Times New Roman"/>
          <w:b/>
          <w:bCs/>
          <w:color w:val="000000"/>
          <w:sz w:val="24"/>
          <w:szCs w:val="24"/>
        </w:rPr>
        <w:t>Are you staying on target for the overall goal of the initiative?</w:t>
      </w:r>
      <w:r w:rsidRPr="00D41042">
        <w:rPr>
          <w:rFonts w:ascii="Garamond" w:eastAsia="Times New Roman" w:hAnsi="Garamond" w:cs="Times New Roman"/>
          <w:color w:val="000000"/>
          <w:sz w:val="24"/>
          <w:szCs w:val="24"/>
        </w:rPr>
        <w:t xml:space="preserve"> </w:t>
      </w:r>
      <w:r w:rsidRPr="00D41042">
        <w:rPr>
          <w:rFonts w:ascii="Garamond" w:eastAsia="Times New Roman" w:hAnsi="Garamond" w:cs="Times New Roman"/>
          <w:i/>
          <w:color w:val="000000"/>
          <w:sz w:val="24"/>
          <w:szCs w:val="24"/>
        </w:rPr>
        <w:t xml:space="preserve">To what extent are the overall program outcomes and </w:t>
      </w:r>
      <w:proofErr w:type="spellStart"/>
      <w:r w:rsidRPr="00D41042">
        <w:rPr>
          <w:rFonts w:ascii="Garamond" w:eastAsia="Times New Roman" w:hAnsi="Garamond" w:cs="Times New Roman"/>
          <w:i/>
          <w:color w:val="000000"/>
          <w:sz w:val="24"/>
          <w:szCs w:val="24"/>
        </w:rPr>
        <w:t>workplan</w:t>
      </w:r>
      <w:proofErr w:type="spellEnd"/>
      <w:r w:rsidRPr="00D41042">
        <w:rPr>
          <w:rFonts w:ascii="Garamond" w:eastAsia="Times New Roman" w:hAnsi="Garamond" w:cs="Times New Roman"/>
          <w:i/>
          <w:color w:val="000000"/>
          <w:sz w:val="24"/>
          <w:szCs w:val="24"/>
        </w:rPr>
        <w:t xml:space="preserve"> deliverables a helpful reference point?</w:t>
      </w:r>
    </w:p>
    <w:p w:rsidR="00D41042" w:rsidRDefault="004F09FA" w:rsidP="00D41042">
      <w:pPr>
        <w:tabs>
          <w:tab w:val="left" w:pos="7395"/>
        </w:tabs>
        <w:spacing w:after="0" w:line="240" w:lineRule="auto"/>
        <w:rPr>
          <w:rFonts w:cs="Times New Roman"/>
        </w:rPr>
      </w:pPr>
      <w:r>
        <w:rPr>
          <w:rFonts w:cs="Times New Roman"/>
        </w:rPr>
        <w:t>N/A</w:t>
      </w:r>
    </w:p>
    <w:p w:rsidR="004F09FA" w:rsidRPr="008314BB" w:rsidRDefault="004F09FA" w:rsidP="00D41042">
      <w:pPr>
        <w:tabs>
          <w:tab w:val="left" w:pos="7395"/>
        </w:tabs>
        <w:spacing w:after="0" w:line="240" w:lineRule="auto"/>
        <w:rPr>
          <w:rFonts w:cs="Times New Roman"/>
        </w:rPr>
      </w:pPr>
    </w:p>
    <w:p w:rsidR="00EB6C3B" w:rsidRPr="00D41042" w:rsidRDefault="00EB6C3B" w:rsidP="00D41042">
      <w:pPr>
        <w:rPr>
          <w:rFonts w:ascii="Garamond" w:hAnsi="Garamond" w:cstheme="minorHAnsi"/>
          <w:b/>
          <w:sz w:val="24"/>
          <w:szCs w:val="24"/>
          <w:u w:val="single"/>
        </w:rPr>
      </w:pPr>
      <w:r w:rsidRPr="00D41042">
        <w:rPr>
          <w:rFonts w:ascii="Garamond" w:eastAsia="Times New Roman" w:hAnsi="Garamond" w:cs="Times New Roman"/>
          <w:b/>
          <w:bCs/>
          <w:color w:val="000000"/>
          <w:sz w:val="24"/>
          <w:szCs w:val="24"/>
        </w:rPr>
        <w:t>What evidence do you have that this plan will translate to concrete impact and actual implementation in the months and years to come?</w:t>
      </w:r>
      <w:r w:rsidRPr="00D41042">
        <w:rPr>
          <w:rFonts w:ascii="Garamond" w:eastAsia="Times New Roman" w:hAnsi="Garamond" w:cs="Times New Roman"/>
          <w:color w:val="000000"/>
          <w:sz w:val="24"/>
          <w:szCs w:val="24"/>
        </w:rPr>
        <w:t xml:space="preserve">  </w:t>
      </w:r>
      <w:r w:rsidRPr="00D41042">
        <w:rPr>
          <w:rFonts w:ascii="Garamond" w:eastAsia="Times New Roman" w:hAnsi="Garamond" w:cs="Times New Roman"/>
          <w:i/>
          <w:color w:val="000000"/>
          <w:sz w:val="24"/>
          <w:szCs w:val="24"/>
        </w:rPr>
        <w:t>Has the quality of the implementation taken on a different character because of the approach that you have taken in the planning process (e.g., emphasis on engagement and equity)? </w:t>
      </w:r>
      <w:r w:rsidRPr="00D41042">
        <w:rPr>
          <w:rFonts w:ascii="Garamond" w:eastAsia="Times New Roman" w:hAnsi="Garamond" w:cs="Times New Roman"/>
          <w:color w:val="000000"/>
          <w:sz w:val="24"/>
          <w:szCs w:val="24"/>
        </w:rPr>
        <w:t xml:space="preserve"> </w:t>
      </w:r>
    </w:p>
    <w:p w:rsidR="007E2193" w:rsidRPr="003C737D" w:rsidRDefault="003F34FD" w:rsidP="007E2193">
      <w:pPr>
        <w:pStyle w:val="ListParagraph"/>
        <w:spacing w:after="120" w:line="240" w:lineRule="auto"/>
        <w:ind w:left="0"/>
        <w:contextualSpacing w:val="0"/>
        <w:rPr>
          <w:shd w:val="clear" w:color="auto" w:fill="FFFFFF"/>
        </w:rPr>
      </w:pPr>
      <w:r>
        <w:rPr>
          <w:rFonts w:eastAsia="Times New Roman" w:cs="Times New Roman"/>
          <w:bCs/>
          <w:color w:val="000000"/>
        </w:rPr>
        <w:t xml:space="preserve">Many </w:t>
      </w:r>
      <w:r w:rsidRPr="003C737D">
        <w:rPr>
          <w:rFonts w:eastAsia="Times New Roman" w:cs="Times New Roman"/>
          <w:bCs/>
        </w:rPr>
        <w:t xml:space="preserve">of our projects </w:t>
      </w:r>
      <w:r w:rsidR="004F09FA" w:rsidRPr="003C737D">
        <w:rPr>
          <w:rFonts w:eastAsia="Times New Roman" w:cs="Times New Roman"/>
          <w:bCs/>
        </w:rPr>
        <w:t xml:space="preserve">have secured additional funding and </w:t>
      </w:r>
      <w:r w:rsidRPr="003C737D">
        <w:rPr>
          <w:rFonts w:eastAsia="Times New Roman" w:cs="Times New Roman"/>
          <w:bCs/>
        </w:rPr>
        <w:t xml:space="preserve">are </w:t>
      </w:r>
      <w:r w:rsidR="003C737D" w:rsidRPr="003C737D">
        <w:rPr>
          <w:rFonts w:eastAsia="Times New Roman" w:cs="Times New Roman"/>
          <w:bCs/>
        </w:rPr>
        <w:t>moving closer to implementation</w:t>
      </w:r>
      <w:r w:rsidRPr="003C737D">
        <w:rPr>
          <w:rFonts w:eastAsia="Times New Roman" w:cs="Times New Roman"/>
          <w:bCs/>
        </w:rPr>
        <w:t xml:space="preserve">. </w:t>
      </w:r>
      <w:r w:rsidR="00C570E7" w:rsidRPr="003C737D">
        <w:rPr>
          <w:rFonts w:eastAsia="Times New Roman" w:cs="Times New Roman"/>
          <w:bCs/>
        </w:rPr>
        <w:t>See the placed-based descriptions</w:t>
      </w:r>
      <w:r w:rsidR="003C737D" w:rsidRPr="003C737D">
        <w:rPr>
          <w:rFonts w:eastAsia="Times New Roman" w:cs="Times New Roman"/>
          <w:bCs/>
        </w:rPr>
        <w:t xml:space="preserve"> above for d</w:t>
      </w:r>
      <w:r w:rsidR="00C570E7" w:rsidRPr="003C737D">
        <w:rPr>
          <w:rFonts w:eastAsia="Times New Roman" w:cs="Times New Roman"/>
          <w:bCs/>
        </w:rPr>
        <w:t>etail</w:t>
      </w:r>
      <w:r w:rsidR="003C737D">
        <w:rPr>
          <w:rFonts w:eastAsia="Times New Roman" w:cs="Times New Roman"/>
          <w:bCs/>
        </w:rPr>
        <w:t>s</w:t>
      </w:r>
      <w:r w:rsidR="00C570E7" w:rsidRPr="003C737D">
        <w:rPr>
          <w:rFonts w:eastAsia="Times New Roman" w:cs="Times New Roman"/>
          <w:bCs/>
        </w:rPr>
        <w:t xml:space="preserve">. </w:t>
      </w:r>
    </w:p>
    <w:p w:rsidR="00D41042" w:rsidRDefault="00D41042" w:rsidP="00D41042">
      <w:pPr>
        <w:pStyle w:val="ListParagraph"/>
        <w:spacing w:after="120" w:line="240" w:lineRule="auto"/>
        <w:ind w:left="0"/>
        <w:contextualSpacing w:val="0"/>
        <w:rPr>
          <w:color w:val="000000"/>
          <w:shd w:val="clear" w:color="auto" w:fill="FFFFFF"/>
        </w:rPr>
      </w:pPr>
      <w:r>
        <w:rPr>
          <w:color w:val="000000"/>
          <w:shd w:val="clear" w:color="auto" w:fill="FFFFFF"/>
        </w:rPr>
        <w:t xml:space="preserve"> </w:t>
      </w:r>
    </w:p>
    <w:p w:rsidR="00EB6C3B" w:rsidRPr="00D41042" w:rsidRDefault="00EB6C3B" w:rsidP="00D41042">
      <w:pPr>
        <w:rPr>
          <w:rFonts w:ascii="Garamond" w:eastAsia="Times New Roman" w:hAnsi="Garamond" w:cs="Times New Roman"/>
          <w:b/>
          <w:bCs/>
          <w:color w:val="000000"/>
          <w:sz w:val="24"/>
          <w:szCs w:val="24"/>
        </w:rPr>
      </w:pPr>
    </w:p>
    <w:p w:rsidR="009245AE"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NEED TO AMEND THE COOPERATIVE AGREEMENT:</w:t>
      </w:r>
    </w:p>
    <w:p w:rsidR="00D41042" w:rsidRPr="00D41042" w:rsidRDefault="00D41042" w:rsidP="00942B53">
      <w:pPr>
        <w:pStyle w:val="ListParagraph"/>
        <w:numPr>
          <w:ilvl w:val="0"/>
          <w:numId w:val="12"/>
        </w:numPr>
        <w:rPr>
          <w:rFonts w:ascii="Garamond" w:hAnsi="Garamond" w:cstheme="minorHAnsi"/>
          <w:b/>
          <w:sz w:val="24"/>
          <w:szCs w:val="24"/>
        </w:rPr>
      </w:pPr>
      <w:r w:rsidRPr="00D41042">
        <w:rPr>
          <w:rFonts w:ascii="Garamond" w:hAnsi="Garamond" w:cstheme="minorHAnsi"/>
          <w:b/>
          <w:sz w:val="24"/>
          <w:szCs w:val="24"/>
        </w:rPr>
        <w:t>N/A</w:t>
      </w:r>
    </w:p>
    <w:tbl>
      <w:tblPr>
        <w:tblStyle w:val="TableGrid"/>
        <w:tblW w:w="0" w:type="auto"/>
        <w:tblInd w:w="1080" w:type="dxa"/>
        <w:tblLook w:val="04A0" w:firstRow="1" w:lastRow="0" w:firstColumn="1" w:lastColumn="0" w:noHBand="0" w:noVBand="1"/>
      </w:tblPr>
      <w:tblGrid>
        <w:gridCol w:w="1230"/>
        <w:gridCol w:w="1050"/>
        <w:gridCol w:w="6216"/>
      </w:tblGrid>
      <w:tr w:rsidR="009245AE" w:rsidRPr="00EB6C3B" w:rsidTr="009245AE">
        <w:tc>
          <w:tcPr>
            <w:tcW w:w="2358" w:type="dxa"/>
          </w:tcPr>
          <w:p w:rsidR="009245AE" w:rsidRPr="00EB6C3B" w:rsidRDefault="009245AE" w:rsidP="009245AE">
            <w:pPr>
              <w:rPr>
                <w:rFonts w:ascii="Garamond" w:hAnsi="Garamond" w:cstheme="minorHAnsi"/>
                <w:b/>
                <w:sz w:val="24"/>
                <w:szCs w:val="24"/>
                <w:u w:val="single"/>
              </w:rPr>
            </w:pPr>
          </w:p>
        </w:tc>
        <w:tc>
          <w:tcPr>
            <w:tcW w:w="1080" w:type="dxa"/>
          </w:tcPr>
          <w:p w:rsidR="009245AE" w:rsidRPr="00EB6C3B" w:rsidRDefault="009245AE" w:rsidP="009245AE">
            <w:pPr>
              <w:jc w:val="center"/>
              <w:rPr>
                <w:rFonts w:ascii="Garamond" w:hAnsi="Garamond" w:cstheme="minorHAnsi"/>
                <w:b/>
                <w:sz w:val="24"/>
                <w:szCs w:val="24"/>
              </w:rPr>
            </w:pPr>
            <w:r w:rsidRPr="00EB6C3B">
              <w:rPr>
                <w:rFonts w:ascii="Garamond" w:hAnsi="Garamond" w:cstheme="minorHAnsi"/>
                <w:b/>
                <w:sz w:val="24"/>
                <w:szCs w:val="24"/>
              </w:rPr>
              <w:t>Yes/No</w:t>
            </w:r>
          </w:p>
        </w:tc>
        <w:tc>
          <w:tcPr>
            <w:tcW w:w="5058" w:type="dxa"/>
          </w:tcPr>
          <w:p w:rsidR="009245AE" w:rsidRPr="00EB6C3B" w:rsidRDefault="009245AE" w:rsidP="009245AE">
            <w:pPr>
              <w:rPr>
                <w:rFonts w:ascii="Garamond" w:hAnsi="Garamond" w:cs="Times New Roman"/>
                <w:b/>
                <w:sz w:val="24"/>
                <w:szCs w:val="24"/>
              </w:rPr>
            </w:pPr>
            <w:r w:rsidRPr="00EB6C3B">
              <w:rPr>
                <w:rFonts w:ascii="Garamond" w:hAnsi="Garamond" w:cs="Times New Roman"/>
                <w:b/>
                <w:sz w:val="24"/>
                <w:szCs w:val="24"/>
              </w:rPr>
              <w:t>Explanation/Reason for Deviation</w:t>
            </w: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Scope</w:t>
            </w:r>
          </w:p>
        </w:tc>
        <w:tc>
          <w:tcPr>
            <w:tcW w:w="1080" w:type="dxa"/>
          </w:tcPr>
          <w:p w:rsidR="009245AE" w:rsidRPr="00DF3B27" w:rsidRDefault="00881CA4"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DF3B27" w:rsidRDefault="00DF3B27" w:rsidP="00DF3B27">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bookmarkStart w:id="8" w:name="Text106"/>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8"/>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4"/>
                  <w:enabled/>
                  <w:calcOnExit w:val="0"/>
                  <w:textInput/>
                </w:ffData>
              </w:fldChar>
            </w:r>
            <w:bookmarkStart w:id="9" w:name="Text104"/>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9"/>
            <w:r>
              <w:rPr>
                <w:rFonts w:ascii="Garamond" w:hAnsi="Garamond" w:cstheme="minorHAnsi"/>
                <w:b/>
                <w:sz w:val="24"/>
                <w:szCs w:val="24"/>
              </w:rPr>
              <w:fldChar w:fldCharType="begin">
                <w:ffData>
                  <w:name w:val="Text105"/>
                  <w:enabled/>
                  <w:calcOnExit w:val="0"/>
                  <w:textInput/>
                </w:ffData>
              </w:fldChar>
            </w:r>
            <w:bookmarkStart w:id="10" w:name="Text105"/>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0"/>
          </w:p>
          <w:p w:rsidR="009245AE" w:rsidRPr="00DF3B27" w:rsidRDefault="00DF3B27" w:rsidP="00DF3B27">
            <w:pPr>
              <w:rPr>
                <w:rFonts w:ascii="Garamond" w:hAnsi="Garamond" w:cstheme="minorHAnsi"/>
                <w:b/>
                <w:sz w:val="24"/>
                <w:szCs w:val="24"/>
              </w:rPr>
            </w:pPr>
            <w:r>
              <w:rPr>
                <w:rFonts w:ascii="Garamond" w:hAnsi="Garamond" w:cstheme="minorHAnsi"/>
                <w:b/>
                <w:sz w:val="24"/>
                <w:szCs w:val="24"/>
              </w:rPr>
              <w:fldChar w:fldCharType="begin">
                <w:ffData>
                  <w:name w:val="Text107"/>
                  <w:enabled/>
                  <w:calcOnExit w:val="0"/>
                  <w:textInput/>
                </w:ffData>
              </w:fldChar>
            </w:r>
            <w:bookmarkStart w:id="11" w:name="Text107"/>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1"/>
            <w:r>
              <w:rPr>
                <w:rFonts w:ascii="Garamond" w:hAnsi="Garamond" w:cstheme="minorHAnsi"/>
                <w:b/>
                <w:sz w:val="24"/>
                <w:szCs w:val="24"/>
              </w:rPr>
              <w:fldChar w:fldCharType="begin">
                <w:ffData>
                  <w:name w:val="Text108"/>
                  <w:enabled/>
                  <w:calcOnExit w:val="0"/>
                  <w:textInput/>
                </w:ffData>
              </w:fldChar>
            </w:r>
            <w:bookmarkStart w:id="12" w:name="Text108"/>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2"/>
            <w:r>
              <w:rPr>
                <w:rFonts w:ascii="Garamond" w:hAnsi="Garamond" w:cstheme="minorHAnsi"/>
                <w:b/>
                <w:sz w:val="24"/>
                <w:szCs w:val="24"/>
              </w:rPr>
              <w:fldChar w:fldCharType="begin">
                <w:ffData>
                  <w:name w:val="Text109"/>
                  <w:enabled/>
                  <w:calcOnExit w:val="0"/>
                  <w:textInput/>
                </w:ffData>
              </w:fldChar>
            </w:r>
            <w:bookmarkStart w:id="13" w:name="Text109"/>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3"/>
            <w:r>
              <w:rPr>
                <w:rFonts w:ascii="Garamond" w:hAnsi="Garamond" w:cstheme="minorHAnsi"/>
                <w:b/>
                <w:sz w:val="24"/>
                <w:szCs w:val="24"/>
              </w:rPr>
              <w:fldChar w:fldCharType="begin">
                <w:ffData>
                  <w:name w:val="Text110"/>
                  <w:enabled/>
                  <w:calcOnExit w:val="0"/>
                  <w:textInput/>
                </w:ffData>
              </w:fldChar>
            </w:r>
            <w:bookmarkStart w:id="14" w:name="Text110"/>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4"/>
            <w:r>
              <w:rPr>
                <w:rFonts w:ascii="Garamond" w:hAnsi="Garamond" w:cstheme="minorHAnsi"/>
                <w:b/>
                <w:sz w:val="24"/>
                <w:szCs w:val="24"/>
              </w:rPr>
              <w:fldChar w:fldCharType="begin">
                <w:ffData>
                  <w:name w:val="Text111"/>
                  <w:enabled/>
                  <w:calcOnExit w:val="0"/>
                  <w:textInput/>
                </w:ffData>
              </w:fldChar>
            </w:r>
            <w:bookmarkStart w:id="15" w:name="Text111"/>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5"/>
            <w:r>
              <w:rPr>
                <w:rFonts w:ascii="Garamond" w:hAnsi="Garamond" w:cstheme="minorHAnsi"/>
                <w:b/>
                <w:sz w:val="24"/>
                <w:szCs w:val="24"/>
              </w:rPr>
              <w:fldChar w:fldCharType="begin">
                <w:ffData>
                  <w:name w:val="Text112"/>
                  <w:enabled/>
                  <w:calcOnExit w:val="0"/>
                  <w:textInput/>
                </w:ffData>
              </w:fldChar>
            </w:r>
            <w:bookmarkStart w:id="16" w:name="Text112"/>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6"/>
            <w:r>
              <w:rPr>
                <w:rFonts w:ascii="Garamond" w:hAnsi="Garamond" w:cstheme="minorHAnsi"/>
                <w:b/>
                <w:sz w:val="24"/>
                <w:szCs w:val="24"/>
              </w:rPr>
              <w:fldChar w:fldCharType="begin">
                <w:ffData>
                  <w:name w:val="Text113"/>
                  <w:enabled/>
                  <w:calcOnExit w:val="0"/>
                  <w:textInput/>
                </w:ffData>
              </w:fldChar>
            </w:r>
            <w:bookmarkStart w:id="17" w:name="Text113"/>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7"/>
            <w:r>
              <w:rPr>
                <w:rFonts w:ascii="Garamond" w:hAnsi="Garamond" w:cstheme="minorHAnsi"/>
                <w:b/>
                <w:sz w:val="24"/>
                <w:szCs w:val="24"/>
              </w:rPr>
              <w:fldChar w:fldCharType="begin">
                <w:ffData>
                  <w:name w:val="Text114"/>
                  <w:enabled/>
                  <w:calcOnExit w:val="0"/>
                  <w:textInput/>
                </w:ffData>
              </w:fldChar>
            </w:r>
            <w:bookmarkStart w:id="18" w:name="Text114"/>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8"/>
            <w:r>
              <w:rPr>
                <w:rFonts w:ascii="Garamond" w:hAnsi="Garamond" w:cstheme="minorHAnsi"/>
                <w:b/>
                <w:sz w:val="24"/>
                <w:szCs w:val="24"/>
              </w:rPr>
              <w:fldChar w:fldCharType="begin">
                <w:ffData>
                  <w:name w:val="Text115"/>
                  <w:enabled/>
                  <w:calcOnExit w:val="0"/>
                  <w:textInput/>
                </w:ffData>
              </w:fldChar>
            </w:r>
            <w:bookmarkStart w:id="19" w:name="Text115"/>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19"/>
            <w:r>
              <w:rPr>
                <w:rFonts w:ascii="Garamond" w:hAnsi="Garamond" w:cstheme="minorHAnsi"/>
                <w:b/>
                <w:sz w:val="24"/>
                <w:szCs w:val="24"/>
              </w:rPr>
              <w:fldChar w:fldCharType="begin">
                <w:ffData>
                  <w:name w:val="Text116"/>
                  <w:enabled/>
                  <w:calcOnExit w:val="0"/>
                  <w:textInput/>
                </w:ffData>
              </w:fldChar>
            </w:r>
            <w:bookmarkStart w:id="20" w:name="Text116"/>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20"/>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Schedule</w:t>
            </w:r>
          </w:p>
        </w:tc>
        <w:tc>
          <w:tcPr>
            <w:tcW w:w="1080" w:type="dxa"/>
          </w:tcPr>
          <w:p w:rsidR="009245AE" w:rsidRPr="00DF3B27" w:rsidRDefault="00881CA4"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p>
          <w:p w:rsidR="009245AE" w:rsidRP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Budget</w:t>
            </w:r>
          </w:p>
        </w:tc>
        <w:tc>
          <w:tcPr>
            <w:tcW w:w="1080" w:type="dxa"/>
          </w:tcPr>
          <w:p w:rsidR="009245AE" w:rsidRPr="00DF3B27" w:rsidRDefault="00881CA4"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p>
          <w:p w:rsidR="009245AE" w:rsidRP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Key Staff or AOR</w:t>
            </w:r>
          </w:p>
        </w:tc>
        <w:tc>
          <w:tcPr>
            <w:tcW w:w="1080" w:type="dxa"/>
          </w:tcPr>
          <w:p w:rsidR="009245AE" w:rsidRPr="00DF3B27" w:rsidRDefault="00881CA4"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bookmarkStart w:id="21" w:name="Text117"/>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21"/>
            <w:r>
              <w:rPr>
                <w:rFonts w:ascii="Garamond" w:hAnsi="Garamond" w:cstheme="minorHAnsi"/>
                <w:b/>
                <w:sz w:val="24"/>
                <w:szCs w:val="24"/>
              </w:rPr>
              <w:fldChar w:fldCharType="begin">
                <w:ffData>
                  <w:name w:val="Text118"/>
                  <w:enabled/>
                  <w:calcOnExit w:val="0"/>
                  <w:textInput/>
                </w:ffData>
              </w:fldChar>
            </w:r>
            <w:bookmarkStart w:id="22" w:name="Text118"/>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bookmarkEnd w:id="22"/>
          </w:p>
          <w:p w:rsidR="009245AE" w:rsidRPr="00DF3B27" w:rsidRDefault="00DF3B27" w:rsidP="009245AE">
            <w:pPr>
              <w:rPr>
                <w:rFonts w:ascii="Garamond" w:hAnsi="Garamond" w:cstheme="minorHAnsi"/>
                <w:b/>
                <w:sz w:val="24"/>
                <w:szCs w:val="24"/>
              </w:rPr>
            </w:pPr>
            <w:r>
              <w:rPr>
                <w:rFonts w:ascii="Garamond" w:hAnsi="Garamond" w:cstheme="minorHAnsi"/>
                <w:b/>
                <w:sz w:val="24"/>
                <w:szCs w:val="24"/>
              </w:rPr>
              <w:fldChar w:fldCharType="begin">
                <w:ffData>
                  <w:name w:val="Text104"/>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5"/>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6"/>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09"/>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0"/>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1"/>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7"/>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r>
              <w:rPr>
                <w:rFonts w:ascii="Garamond" w:hAnsi="Garamond" w:cstheme="minorHAnsi"/>
                <w:b/>
                <w:sz w:val="24"/>
                <w:szCs w:val="24"/>
              </w:rPr>
              <w:fldChar w:fldCharType="begin">
                <w:ffData>
                  <w:name w:val="Text118"/>
                  <w:enabled/>
                  <w:calcOnExit w:val="0"/>
                  <w:textInput/>
                </w:ffData>
              </w:fldChar>
            </w:r>
            <w:r>
              <w:rPr>
                <w:rFonts w:ascii="Garamond" w:hAnsi="Garamond" w:cstheme="minorHAnsi"/>
                <w:b/>
                <w:sz w:val="24"/>
                <w:szCs w:val="24"/>
              </w:rPr>
              <w:instrText xml:space="preserve"> FORMTEXT </w:instrText>
            </w:r>
            <w:r>
              <w:rPr>
                <w:rFonts w:ascii="Garamond" w:hAnsi="Garamond" w:cstheme="minorHAnsi"/>
                <w:b/>
                <w:sz w:val="24"/>
                <w:szCs w:val="24"/>
              </w:rPr>
            </w:r>
            <w:r>
              <w:rPr>
                <w:rFonts w:ascii="Garamond" w:hAnsi="Garamond" w:cstheme="minorHAnsi"/>
                <w:b/>
                <w:sz w:val="24"/>
                <w:szCs w:val="24"/>
              </w:rPr>
              <w:fldChar w:fldCharType="separate"/>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noProof/>
                <w:sz w:val="24"/>
                <w:szCs w:val="24"/>
              </w:rPr>
              <w:t> </w:t>
            </w:r>
            <w:r>
              <w:rPr>
                <w:rFonts w:ascii="Garamond" w:hAnsi="Garamond" w:cstheme="minorHAnsi"/>
                <w:b/>
                <w:sz w:val="24"/>
                <w:szCs w:val="24"/>
              </w:rPr>
              <w:fldChar w:fldCharType="end"/>
            </w:r>
          </w:p>
        </w:tc>
      </w:tr>
    </w:tbl>
    <w:p w:rsidR="00DF3B27" w:rsidRPr="00EB6C3B" w:rsidRDefault="00DF3B27" w:rsidP="009245AE">
      <w:pPr>
        <w:ind w:left="1080"/>
        <w:rPr>
          <w:rFonts w:ascii="Garamond" w:hAnsi="Garamond" w:cstheme="minorHAnsi"/>
          <w:b/>
          <w:sz w:val="24"/>
          <w:szCs w:val="24"/>
          <w:u w:val="single"/>
        </w:rPr>
      </w:pPr>
    </w:p>
    <w:p w:rsidR="009245AE" w:rsidRDefault="009245AE"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 xml:space="preserve">Need for Technical Assistance </w:t>
      </w:r>
    </w:p>
    <w:p w:rsidR="00621382" w:rsidRPr="00EB6C3B" w:rsidRDefault="00621382" w:rsidP="00621382">
      <w:pPr>
        <w:pStyle w:val="ListParagraph"/>
        <w:ind w:left="1080"/>
        <w:rPr>
          <w:rFonts w:ascii="Garamond" w:hAnsi="Garamond" w:cstheme="minorHAnsi"/>
          <w:b/>
          <w:sz w:val="24"/>
          <w:szCs w:val="24"/>
          <w:u w:val="single"/>
        </w:rPr>
      </w:pPr>
      <w:r>
        <w:rPr>
          <w:rFonts w:ascii="Garamond" w:hAnsi="Garamond" w:cstheme="minorHAnsi"/>
          <w:b/>
          <w:sz w:val="24"/>
          <w:szCs w:val="24"/>
          <w:u w:val="single"/>
        </w:rPr>
        <w:t>N/A</w:t>
      </w:r>
    </w:p>
    <w:tbl>
      <w:tblPr>
        <w:tblStyle w:val="TableGrid"/>
        <w:tblW w:w="0" w:type="auto"/>
        <w:tblInd w:w="720" w:type="dxa"/>
        <w:tblLook w:val="04A0" w:firstRow="1" w:lastRow="0" w:firstColumn="1" w:lastColumn="0" w:noHBand="0" w:noVBand="1"/>
      </w:tblPr>
      <w:tblGrid>
        <w:gridCol w:w="8856"/>
      </w:tblGrid>
      <w:tr w:rsidR="00E50B85" w:rsidRPr="00EB6C3B" w:rsidTr="00881CA4">
        <w:trPr>
          <w:trHeight w:val="4022"/>
        </w:trPr>
        <w:tc>
          <w:tcPr>
            <w:tcW w:w="9576" w:type="dxa"/>
          </w:tcPr>
          <w:p w:rsidR="00E50B85" w:rsidRPr="00EB6C3B" w:rsidRDefault="00881CA4" w:rsidP="00E84735">
            <w:pPr>
              <w:rPr>
                <w:rFonts w:ascii="Garamond" w:hAnsi="Garamond" w:cstheme="minorHAnsi"/>
                <w:sz w:val="24"/>
                <w:szCs w:val="24"/>
              </w:rPr>
            </w:pPr>
            <w:r>
              <w:rPr>
                <w:rFonts w:ascii="Garamond" w:hAnsi="Garamond" w:cstheme="minorHAnsi"/>
                <w:sz w:val="24"/>
                <w:szCs w:val="24"/>
              </w:rPr>
              <w:t>None</w:t>
            </w:r>
          </w:p>
        </w:tc>
      </w:tr>
    </w:tbl>
    <w:p w:rsidR="00DB03D5" w:rsidRDefault="00DB03D5" w:rsidP="00657944">
      <w:pPr>
        <w:spacing w:after="0" w:line="240" w:lineRule="auto"/>
        <w:rPr>
          <w:rFonts w:ascii="Garamond" w:hAnsi="Garamond" w:cstheme="minorHAnsi"/>
          <w:sz w:val="24"/>
          <w:szCs w:val="24"/>
        </w:rPr>
      </w:pPr>
    </w:p>
    <w:p w:rsidR="00701332" w:rsidRDefault="00701332" w:rsidP="004D0FC9">
      <w:pPr>
        <w:keepLines/>
        <w:tabs>
          <w:tab w:val="left" w:pos="360"/>
          <w:tab w:val="left" w:pos="720"/>
        </w:tabs>
        <w:rPr>
          <w:rFonts w:ascii="Garamond" w:hAnsi="Garamond"/>
          <w:color w:val="000000" w:themeColor="text1"/>
        </w:rPr>
      </w:pPr>
    </w:p>
    <w:p w:rsidR="00DB03D5" w:rsidRPr="00C1758B" w:rsidRDefault="004D0FC9" w:rsidP="004D0FC9">
      <w:pPr>
        <w:keepLines/>
        <w:tabs>
          <w:tab w:val="left" w:pos="360"/>
          <w:tab w:val="left" w:pos="720"/>
        </w:tabs>
        <w:rPr>
          <w:rFonts w:ascii="Garamond" w:hAnsi="Garamond"/>
          <w:color w:val="000000" w:themeColor="text1"/>
        </w:rPr>
      </w:pPr>
      <w:r w:rsidRPr="00C1758B">
        <w:rPr>
          <w:rFonts w:ascii="Garamond" w:hAnsi="Garamond"/>
          <w:color w:val="000000" w:themeColor="text1"/>
        </w:rPr>
        <w:t xml:space="preserve">Public reporting burden for this collection of information is estimated to average </w:t>
      </w:r>
      <w:r w:rsidR="00657944">
        <w:rPr>
          <w:rFonts w:ascii="Garamond" w:hAnsi="Garamond"/>
          <w:color w:val="000000" w:themeColor="text1"/>
        </w:rPr>
        <w:t>1.5</w:t>
      </w:r>
      <w:r w:rsidRPr="00C1758B">
        <w:rPr>
          <w:rFonts w:ascii="Garamond" w:hAnsi="Garamond"/>
          <w:color w:val="000000" w:themeColor="text1"/>
        </w:rPr>
        <w:t xml:space="preserve"> hours. This includes the time for collecti</w:t>
      </w:r>
      <w:r w:rsidR="00C1758B">
        <w:rPr>
          <w:rFonts w:ascii="Garamond" w:hAnsi="Garamond"/>
          <w:color w:val="000000" w:themeColor="text1"/>
        </w:rPr>
        <w:t>ng, reviewing, and responding to questions</w:t>
      </w:r>
      <w:r w:rsidRPr="00C1758B">
        <w:rPr>
          <w:rFonts w:ascii="Garamond" w:hAnsi="Garamond"/>
          <w:color w:val="000000" w:themeColor="text1"/>
        </w:rPr>
        <w:t>. The information is being collected for mandatory semi-annual reporting and will be used for tracking implementation of HUD-approved work plans. Response to this request for information is required in order to receive the benefits to be derived. This agency may not collect this information, and you are not required to complete this form unless it displays a currently valid OMB control number. No confidentiality is assured.</w:t>
      </w:r>
      <w:bookmarkStart w:id="23" w:name="_GoBack"/>
      <w:bookmarkEnd w:id="23"/>
    </w:p>
    <w:sectPr w:rsidR="00DB03D5" w:rsidRPr="00C1758B">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41" w:rsidRDefault="00E16E41" w:rsidP="004154AF">
      <w:pPr>
        <w:spacing w:after="0" w:line="240" w:lineRule="auto"/>
      </w:pPr>
      <w:r>
        <w:separator/>
      </w:r>
    </w:p>
  </w:endnote>
  <w:endnote w:type="continuationSeparator" w:id="0">
    <w:p w:rsidR="00E16E41" w:rsidRDefault="00E16E41"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4D" w:rsidRDefault="0024234D">
    <w:pPr>
      <w:pStyle w:val="Footer"/>
      <w:jc w:val="center"/>
    </w:pPr>
    <w:r>
      <w:t xml:space="preserve">                                                                                                </w:t>
    </w:r>
    <w:sdt>
      <w:sdtPr>
        <w:id w:val="159775246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14229">
          <w:rPr>
            <w:noProof/>
          </w:rPr>
          <w:t>22</w:t>
        </w:r>
        <w:r>
          <w:rPr>
            <w:noProof/>
          </w:rPr>
          <w:fldChar w:fldCharType="end"/>
        </w:r>
        <w:r>
          <w:rPr>
            <w:noProof/>
          </w:rPr>
          <w:t xml:space="preserve">                                       HUD Form 40105 (08/2013)</w:t>
        </w:r>
      </w:sdtContent>
    </w:sdt>
  </w:p>
  <w:p w:rsidR="0024234D" w:rsidRDefault="0024234D" w:rsidP="00F0300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41" w:rsidRDefault="00E16E41" w:rsidP="004154AF">
      <w:pPr>
        <w:spacing w:after="0" w:line="240" w:lineRule="auto"/>
      </w:pPr>
      <w:r>
        <w:separator/>
      </w:r>
    </w:p>
  </w:footnote>
  <w:footnote w:type="continuationSeparator" w:id="0">
    <w:p w:rsidR="00E16E41" w:rsidRDefault="00E16E41" w:rsidP="00415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4D" w:rsidRPr="00604113" w:rsidRDefault="0024234D" w:rsidP="00F908A3">
    <w:pPr>
      <w:pStyle w:val="Header"/>
      <w:jc w:val="right"/>
      <w:rPr>
        <w:rFonts w:ascii="Times New Roman" w:hAnsi="Times New Roman" w:cs="Times New Roman"/>
        <w:b/>
        <w:sz w:val="18"/>
        <w:szCs w:val="18"/>
      </w:rPr>
    </w:pPr>
    <w:r w:rsidRPr="00604113">
      <w:rPr>
        <w:rFonts w:ascii="Times New Roman" w:hAnsi="Times New Roman" w:cs="Times New Roman"/>
        <w:b/>
        <w:sz w:val="18"/>
        <w:szCs w:val="18"/>
      </w:rPr>
      <w:t>OMB Control No. 2501-0030</w:t>
    </w:r>
  </w:p>
  <w:p w:rsidR="0024234D" w:rsidRPr="00604113" w:rsidRDefault="0024234D" w:rsidP="00604113">
    <w:pPr>
      <w:pStyle w:val="Header"/>
      <w:spacing w:after="120"/>
      <w:jc w:val="right"/>
      <w:rPr>
        <w:rFonts w:ascii="Times New Roman" w:hAnsi="Times New Roman" w:cs="Times New Roman"/>
        <w:b/>
        <w:sz w:val="18"/>
        <w:szCs w:val="18"/>
      </w:rPr>
    </w:pPr>
    <w:r w:rsidRPr="00604113">
      <w:rPr>
        <w:rFonts w:ascii="Times New Roman" w:hAnsi="Times New Roman" w:cs="Times New Roman"/>
        <w:b/>
        <w:sz w:val="18"/>
        <w:szCs w:val="18"/>
      </w:rPr>
      <w:t>Expires 12/31/2014</w:t>
    </w:r>
  </w:p>
  <w:p w:rsidR="0024234D" w:rsidRPr="00604113" w:rsidRDefault="0024234D" w:rsidP="00F908A3">
    <w:pPr>
      <w:pStyle w:val="Header"/>
      <w:jc w:val="center"/>
      <w:rPr>
        <w:rFonts w:ascii="Times New Roman" w:hAnsi="Times New Roman" w:cs="Times New Roman"/>
        <w:b/>
      </w:rPr>
    </w:pPr>
    <w:r w:rsidRPr="00604113">
      <w:rPr>
        <w:rFonts w:ascii="Times New Roman" w:hAnsi="Times New Roman" w:cs="Times New Roman"/>
        <w:b/>
      </w:rPr>
      <w:t>U.S. Department of Housing and Urban Development</w:t>
    </w:r>
  </w:p>
  <w:p w:rsidR="0024234D" w:rsidRPr="00F908A3" w:rsidRDefault="0024234D"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Sustainable Communities Initiative Progress Report Template</w:t>
    </w:r>
  </w:p>
  <w:p w:rsidR="0024234D" w:rsidRPr="00F908A3" w:rsidRDefault="0024234D"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741C1"/>
    <w:multiLevelType w:val="hybridMultilevel"/>
    <w:tmpl w:val="85D4B7E6"/>
    <w:lvl w:ilvl="0" w:tplc="94CCD7BC">
      <w:numFmt w:val="bullet"/>
      <w:lvlText w:val="•"/>
      <w:lvlJc w:val="left"/>
      <w:pPr>
        <w:ind w:left="504" w:hanging="720"/>
      </w:pPr>
      <w:rPr>
        <w:rFonts w:ascii="Calibri" w:eastAsiaTheme="minorHAnsi" w:hAnsi="Calibri" w:cstheme="minorBidi"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nsid w:val="19504036"/>
    <w:multiLevelType w:val="hybridMultilevel"/>
    <w:tmpl w:val="67708BA2"/>
    <w:lvl w:ilvl="0" w:tplc="94CCD7BC">
      <w:numFmt w:val="bullet"/>
      <w:lvlText w:val="•"/>
      <w:lvlJc w:val="left"/>
      <w:pPr>
        <w:ind w:left="1800" w:hanging="72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31914DBA"/>
    <w:multiLevelType w:val="hybridMultilevel"/>
    <w:tmpl w:val="50A0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9C54B48"/>
    <w:multiLevelType w:val="hybridMultilevel"/>
    <w:tmpl w:val="4616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8F5EAF"/>
    <w:multiLevelType w:val="hybridMultilevel"/>
    <w:tmpl w:val="63BEE160"/>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6C47875"/>
    <w:multiLevelType w:val="hybridMultilevel"/>
    <w:tmpl w:val="04988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F1B4B15"/>
    <w:multiLevelType w:val="hybridMultilevel"/>
    <w:tmpl w:val="6D40A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7E874EB"/>
    <w:multiLevelType w:val="hybridMultilevel"/>
    <w:tmpl w:val="6532CD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DA92AEF"/>
    <w:multiLevelType w:val="hybridMultilevel"/>
    <w:tmpl w:val="A564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7707A3"/>
    <w:multiLevelType w:val="hybridMultilevel"/>
    <w:tmpl w:val="4A14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2EB5F71"/>
    <w:multiLevelType w:val="hybridMultilevel"/>
    <w:tmpl w:val="59962376"/>
    <w:lvl w:ilvl="0" w:tplc="94CCD7B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87E76"/>
    <w:multiLevelType w:val="hybridMultilevel"/>
    <w:tmpl w:val="962C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855DE4"/>
    <w:multiLevelType w:val="hybridMultilevel"/>
    <w:tmpl w:val="DE5054C0"/>
    <w:lvl w:ilvl="0" w:tplc="94CCD7B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10"/>
  </w:num>
  <w:num w:numId="5">
    <w:abstractNumId w:val="15"/>
  </w:num>
  <w:num w:numId="6">
    <w:abstractNumId w:val="12"/>
  </w:num>
  <w:num w:numId="7">
    <w:abstractNumId w:val="14"/>
  </w:num>
  <w:num w:numId="8">
    <w:abstractNumId w:val="6"/>
  </w:num>
  <w:num w:numId="9">
    <w:abstractNumId w:val="18"/>
  </w:num>
  <w:num w:numId="10">
    <w:abstractNumId w:val="20"/>
  </w:num>
  <w:num w:numId="11">
    <w:abstractNumId w:val="4"/>
  </w:num>
  <w:num w:numId="12">
    <w:abstractNumId w:val="5"/>
  </w:num>
  <w:num w:numId="13">
    <w:abstractNumId w:val="11"/>
  </w:num>
  <w:num w:numId="14">
    <w:abstractNumId w:val="0"/>
  </w:num>
  <w:num w:numId="15">
    <w:abstractNumId w:val="22"/>
  </w:num>
  <w:num w:numId="16">
    <w:abstractNumId w:val="13"/>
  </w:num>
  <w:num w:numId="17">
    <w:abstractNumId w:val="17"/>
  </w:num>
  <w:num w:numId="18">
    <w:abstractNumId w:val="7"/>
  </w:num>
  <w:num w:numId="19">
    <w:abstractNumId w:val="9"/>
  </w:num>
  <w:num w:numId="20">
    <w:abstractNumId w:val="24"/>
  </w:num>
  <w:num w:numId="21">
    <w:abstractNumId w:val="25"/>
  </w:num>
  <w:num w:numId="22">
    <w:abstractNumId w:val="2"/>
  </w:num>
  <w:num w:numId="23">
    <w:abstractNumId w:val="1"/>
  </w:num>
  <w:num w:numId="24">
    <w:abstractNumId w:val="23"/>
  </w:num>
  <w:num w:numId="25">
    <w:abstractNumId w:val="19"/>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136B"/>
    <w:rsid w:val="0000575E"/>
    <w:rsid w:val="000145B1"/>
    <w:rsid w:val="00026235"/>
    <w:rsid w:val="000349DC"/>
    <w:rsid w:val="0004015E"/>
    <w:rsid w:val="000650FF"/>
    <w:rsid w:val="000678D0"/>
    <w:rsid w:val="0007108B"/>
    <w:rsid w:val="00084736"/>
    <w:rsid w:val="00094993"/>
    <w:rsid w:val="000C7964"/>
    <w:rsid w:val="000D0633"/>
    <w:rsid w:val="000F1AAF"/>
    <w:rsid w:val="000F4E3C"/>
    <w:rsid w:val="000F7BD0"/>
    <w:rsid w:val="00107850"/>
    <w:rsid w:val="00153B0C"/>
    <w:rsid w:val="001629A6"/>
    <w:rsid w:val="00171AF1"/>
    <w:rsid w:val="001840C6"/>
    <w:rsid w:val="001A280D"/>
    <w:rsid w:val="001C0EF3"/>
    <w:rsid w:val="001E10A4"/>
    <w:rsid w:val="001F5800"/>
    <w:rsid w:val="001F7172"/>
    <w:rsid w:val="00207499"/>
    <w:rsid w:val="0021164B"/>
    <w:rsid w:val="00213FC1"/>
    <w:rsid w:val="00235209"/>
    <w:rsid w:val="00240416"/>
    <w:rsid w:val="0024234D"/>
    <w:rsid w:val="0026614A"/>
    <w:rsid w:val="00272970"/>
    <w:rsid w:val="002935A5"/>
    <w:rsid w:val="002B224D"/>
    <w:rsid w:val="002C1E45"/>
    <w:rsid w:val="002C71CF"/>
    <w:rsid w:val="002D3313"/>
    <w:rsid w:val="002E01FA"/>
    <w:rsid w:val="002E3A85"/>
    <w:rsid w:val="002E6036"/>
    <w:rsid w:val="002E7169"/>
    <w:rsid w:val="002F0F76"/>
    <w:rsid w:val="002F6912"/>
    <w:rsid w:val="00314229"/>
    <w:rsid w:val="003143C0"/>
    <w:rsid w:val="00317576"/>
    <w:rsid w:val="00344F38"/>
    <w:rsid w:val="00356C6A"/>
    <w:rsid w:val="00361E86"/>
    <w:rsid w:val="00373698"/>
    <w:rsid w:val="0038578B"/>
    <w:rsid w:val="003A3CFA"/>
    <w:rsid w:val="003B694E"/>
    <w:rsid w:val="003C737D"/>
    <w:rsid w:val="003D0C20"/>
    <w:rsid w:val="003F34FD"/>
    <w:rsid w:val="004037D9"/>
    <w:rsid w:val="0040786C"/>
    <w:rsid w:val="004154AF"/>
    <w:rsid w:val="00454774"/>
    <w:rsid w:val="00454B6B"/>
    <w:rsid w:val="00461B50"/>
    <w:rsid w:val="00466DE6"/>
    <w:rsid w:val="00470345"/>
    <w:rsid w:val="004A580E"/>
    <w:rsid w:val="004C07D7"/>
    <w:rsid w:val="004C0817"/>
    <w:rsid w:val="004D0FC9"/>
    <w:rsid w:val="004D4661"/>
    <w:rsid w:val="004E5595"/>
    <w:rsid w:val="004F09FA"/>
    <w:rsid w:val="00506B9A"/>
    <w:rsid w:val="005161BD"/>
    <w:rsid w:val="00516451"/>
    <w:rsid w:val="00520BDF"/>
    <w:rsid w:val="005334DE"/>
    <w:rsid w:val="00562CDA"/>
    <w:rsid w:val="005721B8"/>
    <w:rsid w:val="0057775D"/>
    <w:rsid w:val="00596BDB"/>
    <w:rsid w:val="005A2A44"/>
    <w:rsid w:val="005A6C99"/>
    <w:rsid w:val="005C7C6E"/>
    <w:rsid w:val="006030B9"/>
    <w:rsid w:val="006037F9"/>
    <w:rsid w:val="00604113"/>
    <w:rsid w:val="00621382"/>
    <w:rsid w:val="006352E1"/>
    <w:rsid w:val="0064242F"/>
    <w:rsid w:val="00654EB3"/>
    <w:rsid w:val="00657944"/>
    <w:rsid w:val="00663260"/>
    <w:rsid w:val="00666E58"/>
    <w:rsid w:val="00667FCC"/>
    <w:rsid w:val="00673F02"/>
    <w:rsid w:val="00675B9D"/>
    <w:rsid w:val="00695ECC"/>
    <w:rsid w:val="006D58E1"/>
    <w:rsid w:val="006F43F7"/>
    <w:rsid w:val="00700373"/>
    <w:rsid w:val="00701332"/>
    <w:rsid w:val="00711F6C"/>
    <w:rsid w:val="0071476C"/>
    <w:rsid w:val="00716AB3"/>
    <w:rsid w:val="007305B6"/>
    <w:rsid w:val="00731D69"/>
    <w:rsid w:val="00737DBC"/>
    <w:rsid w:val="00743502"/>
    <w:rsid w:val="007557EB"/>
    <w:rsid w:val="00771C88"/>
    <w:rsid w:val="007777B5"/>
    <w:rsid w:val="00791B3E"/>
    <w:rsid w:val="007B300C"/>
    <w:rsid w:val="007B41D0"/>
    <w:rsid w:val="007E0D2F"/>
    <w:rsid w:val="007E2193"/>
    <w:rsid w:val="00806863"/>
    <w:rsid w:val="00810F87"/>
    <w:rsid w:val="00813EEB"/>
    <w:rsid w:val="008365CB"/>
    <w:rsid w:val="00841657"/>
    <w:rsid w:val="00881CA4"/>
    <w:rsid w:val="008A5DA0"/>
    <w:rsid w:val="008B085B"/>
    <w:rsid w:val="008B2B4A"/>
    <w:rsid w:val="008C5031"/>
    <w:rsid w:val="008E3C9A"/>
    <w:rsid w:val="008E7E28"/>
    <w:rsid w:val="00907238"/>
    <w:rsid w:val="0091303F"/>
    <w:rsid w:val="009245AE"/>
    <w:rsid w:val="00932945"/>
    <w:rsid w:val="009348A5"/>
    <w:rsid w:val="00942B53"/>
    <w:rsid w:val="009500ED"/>
    <w:rsid w:val="009708F8"/>
    <w:rsid w:val="00996931"/>
    <w:rsid w:val="009A171A"/>
    <w:rsid w:val="009C656E"/>
    <w:rsid w:val="009C6BAB"/>
    <w:rsid w:val="009D3593"/>
    <w:rsid w:val="009D6FDF"/>
    <w:rsid w:val="009E6E98"/>
    <w:rsid w:val="009F0585"/>
    <w:rsid w:val="00A15DDC"/>
    <w:rsid w:val="00A23E67"/>
    <w:rsid w:val="00A551E2"/>
    <w:rsid w:val="00A55654"/>
    <w:rsid w:val="00A6191D"/>
    <w:rsid w:val="00A64EEE"/>
    <w:rsid w:val="00A729F6"/>
    <w:rsid w:val="00A9486A"/>
    <w:rsid w:val="00AB2966"/>
    <w:rsid w:val="00AC6328"/>
    <w:rsid w:val="00AC71D0"/>
    <w:rsid w:val="00AE407C"/>
    <w:rsid w:val="00AF56D4"/>
    <w:rsid w:val="00B27965"/>
    <w:rsid w:val="00B46B34"/>
    <w:rsid w:val="00B554F1"/>
    <w:rsid w:val="00B55BD5"/>
    <w:rsid w:val="00B835E0"/>
    <w:rsid w:val="00BB6FE6"/>
    <w:rsid w:val="00BD3955"/>
    <w:rsid w:val="00C06B62"/>
    <w:rsid w:val="00C1758B"/>
    <w:rsid w:val="00C23154"/>
    <w:rsid w:val="00C31615"/>
    <w:rsid w:val="00C4517F"/>
    <w:rsid w:val="00C46F53"/>
    <w:rsid w:val="00C570E7"/>
    <w:rsid w:val="00C66B52"/>
    <w:rsid w:val="00C67871"/>
    <w:rsid w:val="00C735B0"/>
    <w:rsid w:val="00CC241C"/>
    <w:rsid w:val="00CD3347"/>
    <w:rsid w:val="00CD388C"/>
    <w:rsid w:val="00CF4545"/>
    <w:rsid w:val="00D1236E"/>
    <w:rsid w:val="00D22037"/>
    <w:rsid w:val="00D26173"/>
    <w:rsid w:val="00D3046C"/>
    <w:rsid w:val="00D30CF0"/>
    <w:rsid w:val="00D33180"/>
    <w:rsid w:val="00D337E2"/>
    <w:rsid w:val="00D35B9B"/>
    <w:rsid w:val="00D41042"/>
    <w:rsid w:val="00D41E3F"/>
    <w:rsid w:val="00D52B4A"/>
    <w:rsid w:val="00D55E95"/>
    <w:rsid w:val="00D75D41"/>
    <w:rsid w:val="00D9091B"/>
    <w:rsid w:val="00DA3EF1"/>
    <w:rsid w:val="00DB03D5"/>
    <w:rsid w:val="00DB2559"/>
    <w:rsid w:val="00DB37DC"/>
    <w:rsid w:val="00DB66A6"/>
    <w:rsid w:val="00DF0362"/>
    <w:rsid w:val="00DF3B27"/>
    <w:rsid w:val="00E07D44"/>
    <w:rsid w:val="00E16E41"/>
    <w:rsid w:val="00E23672"/>
    <w:rsid w:val="00E346E9"/>
    <w:rsid w:val="00E44E12"/>
    <w:rsid w:val="00E50B85"/>
    <w:rsid w:val="00E615E9"/>
    <w:rsid w:val="00E63EBD"/>
    <w:rsid w:val="00E66E8B"/>
    <w:rsid w:val="00E73B23"/>
    <w:rsid w:val="00E8022D"/>
    <w:rsid w:val="00E81785"/>
    <w:rsid w:val="00E84533"/>
    <w:rsid w:val="00E84735"/>
    <w:rsid w:val="00EA3329"/>
    <w:rsid w:val="00EA45D6"/>
    <w:rsid w:val="00EB6C3B"/>
    <w:rsid w:val="00ED6D69"/>
    <w:rsid w:val="00EE1C3D"/>
    <w:rsid w:val="00F03004"/>
    <w:rsid w:val="00F14F05"/>
    <w:rsid w:val="00F16B49"/>
    <w:rsid w:val="00F20D2C"/>
    <w:rsid w:val="00F320F4"/>
    <w:rsid w:val="00F34988"/>
    <w:rsid w:val="00F34EC9"/>
    <w:rsid w:val="00F5755E"/>
    <w:rsid w:val="00F74EDC"/>
    <w:rsid w:val="00F7637C"/>
    <w:rsid w:val="00F87B70"/>
    <w:rsid w:val="00F908A3"/>
    <w:rsid w:val="00F91261"/>
    <w:rsid w:val="00FC2421"/>
    <w:rsid w:val="00FD6D57"/>
    <w:rsid w:val="00FE1EAB"/>
    <w:rsid w:val="00FF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F320F4"/>
  </w:style>
  <w:style w:type="character" w:styleId="Emphasis">
    <w:name w:val="Emphasis"/>
    <w:uiPriority w:val="20"/>
    <w:qFormat/>
    <w:rsid w:val="00D41042"/>
    <w:rPr>
      <w:b/>
      <w:i/>
      <w:spacing w:val="10"/>
    </w:rPr>
  </w:style>
  <w:style w:type="paragraph" w:styleId="Quote">
    <w:name w:val="Quote"/>
    <w:basedOn w:val="Normal"/>
    <w:link w:val="QuoteChar"/>
    <w:uiPriority w:val="29"/>
    <w:qFormat/>
    <w:rsid w:val="007305B6"/>
    <w:pPr>
      <w:spacing w:after="0" w:line="240" w:lineRule="auto"/>
    </w:pPr>
    <w:rPr>
      <w:rFonts w:ascii="Calibri" w:hAnsi="Calibri" w:cs="Times New Roman"/>
      <w:i/>
      <w:iCs/>
      <w:color w:val="000000"/>
    </w:rPr>
  </w:style>
  <w:style w:type="character" w:customStyle="1" w:styleId="QuoteChar">
    <w:name w:val="Quote Char"/>
    <w:basedOn w:val="DefaultParagraphFont"/>
    <w:link w:val="Quote"/>
    <w:uiPriority w:val="29"/>
    <w:rsid w:val="007305B6"/>
    <w:rPr>
      <w:rFonts w:ascii="Calibri" w:hAnsi="Calibri" w:cs="Times New Roman"/>
      <w:i/>
      <w:iCs/>
      <w:color w:val="000000"/>
    </w:rPr>
  </w:style>
  <w:style w:type="character" w:styleId="SubtleReference">
    <w:name w:val="Subtle Reference"/>
    <w:basedOn w:val="DefaultParagraphFont"/>
    <w:uiPriority w:val="31"/>
    <w:qFormat/>
    <w:rsid w:val="007305B6"/>
    <w:rPr>
      <w:smallCaps/>
      <w:color w:val="C0504D"/>
      <w:u w:val="single"/>
    </w:rPr>
  </w:style>
  <w:style w:type="paragraph" w:styleId="NoSpacing">
    <w:name w:val="No Spacing"/>
    <w:uiPriority w:val="1"/>
    <w:qFormat/>
    <w:rsid w:val="007305B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F320F4"/>
  </w:style>
  <w:style w:type="character" w:styleId="Emphasis">
    <w:name w:val="Emphasis"/>
    <w:uiPriority w:val="20"/>
    <w:qFormat/>
    <w:rsid w:val="00D41042"/>
    <w:rPr>
      <w:b/>
      <w:i/>
      <w:spacing w:val="10"/>
    </w:rPr>
  </w:style>
  <w:style w:type="paragraph" w:styleId="Quote">
    <w:name w:val="Quote"/>
    <w:basedOn w:val="Normal"/>
    <w:link w:val="QuoteChar"/>
    <w:uiPriority w:val="29"/>
    <w:qFormat/>
    <w:rsid w:val="007305B6"/>
    <w:pPr>
      <w:spacing w:after="0" w:line="240" w:lineRule="auto"/>
    </w:pPr>
    <w:rPr>
      <w:rFonts w:ascii="Calibri" w:hAnsi="Calibri" w:cs="Times New Roman"/>
      <w:i/>
      <w:iCs/>
      <w:color w:val="000000"/>
    </w:rPr>
  </w:style>
  <w:style w:type="character" w:customStyle="1" w:styleId="QuoteChar">
    <w:name w:val="Quote Char"/>
    <w:basedOn w:val="DefaultParagraphFont"/>
    <w:link w:val="Quote"/>
    <w:uiPriority w:val="29"/>
    <w:rsid w:val="007305B6"/>
    <w:rPr>
      <w:rFonts w:ascii="Calibri" w:hAnsi="Calibri" w:cs="Times New Roman"/>
      <w:i/>
      <w:iCs/>
      <w:color w:val="000000"/>
    </w:rPr>
  </w:style>
  <w:style w:type="character" w:styleId="SubtleReference">
    <w:name w:val="Subtle Reference"/>
    <w:basedOn w:val="DefaultParagraphFont"/>
    <w:uiPriority w:val="31"/>
    <w:qFormat/>
    <w:rsid w:val="007305B6"/>
    <w:rPr>
      <w:smallCaps/>
      <w:color w:val="C0504D"/>
      <w:u w:val="single"/>
    </w:rPr>
  </w:style>
  <w:style w:type="paragraph" w:styleId="NoSpacing">
    <w:name w:val="No Spacing"/>
    <w:uiPriority w:val="1"/>
    <w:qFormat/>
    <w:rsid w:val="007305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47136">
      <w:bodyDiv w:val="1"/>
      <w:marLeft w:val="0"/>
      <w:marRight w:val="0"/>
      <w:marTop w:val="0"/>
      <w:marBottom w:val="0"/>
      <w:divBdr>
        <w:top w:val="none" w:sz="0" w:space="0" w:color="auto"/>
        <w:left w:val="none" w:sz="0" w:space="0" w:color="auto"/>
        <w:bottom w:val="none" w:sz="0" w:space="0" w:color="auto"/>
        <w:right w:val="none" w:sz="0" w:space="0" w:color="auto"/>
      </w:divBdr>
    </w:div>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 w:id="266934498">
      <w:bodyDiv w:val="1"/>
      <w:marLeft w:val="0"/>
      <w:marRight w:val="0"/>
      <w:marTop w:val="0"/>
      <w:marBottom w:val="0"/>
      <w:divBdr>
        <w:top w:val="none" w:sz="0" w:space="0" w:color="auto"/>
        <w:left w:val="none" w:sz="0" w:space="0" w:color="auto"/>
        <w:bottom w:val="none" w:sz="0" w:space="0" w:color="auto"/>
        <w:right w:val="none" w:sz="0" w:space="0" w:color="auto"/>
      </w:divBdr>
    </w:div>
    <w:div w:id="362680670">
      <w:bodyDiv w:val="1"/>
      <w:marLeft w:val="0"/>
      <w:marRight w:val="0"/>
      <w:marTop w:val="0"/>
      <w:marBottom w:val="0"/>
      <w:divBdr>
        <w:top w:val="none" w:sz="0" w:space="0" w:color="auto"/>
        <w:left w:val="none" w:sz="0" w:space="0" w:color="auto"/>
        <w:bottom w:val="none" w:sz="0" w:space="0" w:color="auto"/>
        <w:right w:val="none" w:sz="0" w:space="0" w:color="auto"/>
      </w:divBdr>
    </w:div>
    <w:div w:id="388963324">
      <w:bodyDiv w:val="1"/>
      <w:marLeft w:val="0"/>
      <w:marRight w:val="0"/>
      <w:marTop w:val="0"/>
      <w:marBottom w:val="0"/>
      <w:divBdr>
        <w:top w:val="none" w:sz="0" w:space="0" w:color="auto"/>
        <w:left w:val="none" w:sz="0" w:space="0" w:color="auto"/>
        <w:bottom w:val="none" w:sz="0" w:space="0" w:color="auto"/>
        <w:right w:val="none" w:sz="0" w:space="0" w:color="auto"/>
      </w:divBdr>
    </w:div>
    <w:div w:id="964198269">
      <w:bodyDiv w:val="1"/>
      <w:marLeft w:val="0"/>
      <w:marRight w:val="0"/>
      <w:marTop w:val="0"/>
      <w:marBottom w:val="0"/>
      <w:divBdr>
        <w:top w:val="none" w:sz="0" w:space="0" w:color="auto"/>
        <w:left w:val="none" w:sz="0" w:space="0" w:color="auto"/>
        <w:bottom w:val="none" w:sz="0" w:space="0" w:color="auto"/>
        <w:right w:val="none" w:sz="0" w:space="0" w:color="auto"/>
      </w:divBdr>
    </w:div>
    <w:div w:id="1071390563">
      <w:bodyDiv w:val="1"/>
      <w:marLeft w:val="0"/>
      <w:marRight w:val="0"/>
      <w:marTop w:val="0"/>
      <w:marBottom w:val="0"/>
      <w:divBdr>
        <w:top w:val="none" w:sz="0" w:space="0" w:color="auto"/>
        <w:left w:val="none" w:sz="0" w:space="0" w:color="auto"/>
        <w:bottom w:val="none" w:sz="0" w:space="0" w:color="auto"/>
        <w:right w:val="none" w:sz="0" w:space="0" w:color="auto"/>
      </w:divBdr>
    </w:div>
    <w:div w:id="1376930316">
      <w:bodyDiv w:val="1"/>
      <w:marLeft w:val="0"/>
      <w:marRight w:val="0"/>
      <w:marTop w:val="0"/>
      <w:marBottom w:val="0"/>
      <w:divBdr>
        <w:top w:val="none" w:sz="0" w:space="0" w:color="auto"/>
        <w:left w:val="none" w:sz="0" w:space="0" w:color="auto"/>
        <w:bottom w:val="none" w:sz="0" w:space="0" w:color="auto"/>
        <w:right w:val="none" w:sz="0" w:space="0" w:color="auto"/>
      </w:divBdr>
    </w:div>
    <w:div w:id="1418669321">
      <w:bodyDiv w:val="1"/>
      <w:marLeft w:val="0"/>
      <w:marRight w:val="0"/>
      <w:marTop w:val="0"/>
      <w:marBottom w:val="0"/>
      <w:divBdr>
        <w:top w:val="none" w:sz="0" w:space="0" w:color="auto"/>
        <w:left w:val="none" w:sz="0" w:space="0" w:color="auto"/>
        <w:bottom w:val="none" w:sz="0" w:space="0" w:color="auto"/>
        <w:right w:val="none" w:sz="0" w:space="0" w:color="auto"/>
      </w:divBdr>
    </w:div>
    <w:div w:id="1746997047">
      <w:bodyDiv w:val="1"/>
      <w:marLeft w:val="0"/>
      <w:marRight w:val="0"/>
      <w:marTop w:val="0"/>
      <w:marBottom w:val="0"/>
      <w:divBdr>
        <w:top w:val="none" w:sz="0" w:space="0" w:color="auto"/>
        <w:left w:val="none" w:sz="0" w:space="0" w:color="auto"/>
        <w:bottom w:val="none" w:sz="0" w:space="0" w:color="auto"/>
        <w:right w:val="none" w:sz="0" w:space="0" w:color="auto"/>
      </w:divBdr>
    </w:div>
    <w:div w:id="192244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AE5954-6FF3-4421-893C-6B19A672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11081</Words>
  <Characters>63166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74099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Amanda Kennedy</cp:lastModifiedBy>
  <cp:revision>3</cp:revision>
  <cp:lastPrinted>2014-08-19T14:41:00Z</cp:lastPrinted>
  <dcterms:created xsi:type="dcterms:W3CDTF">2014-08-27T16:34:00Z</dcterms:created>
  <dcterms:modified xsi:type="dcterms:W3CDTF">2014-08-27T16:38:00Z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-840207347</vt:i4>
  </property>
  <property fmtid="{D5CDD505-2E9C-101B-9397-08002B2CF9AE}" pid="3" name="_NewReviewCycle">
    <vt:lpwstr/>
  </property>
  <property fmtid="{D5CDD505-2E9C-101B-9397-08002B2CF9AE}" pid="4" name="_EmailSubject">
    <vt:lpwstr>Semi-Annual Report Package</vt:lpwstr>
  </property>
  <property fmtid="{D5CDD505-2E9C-101B-9397-08002B2CF9AE}" pid="5" name="_AuthorEmail">
    <vt:lpwstr>Thaddeus.D.Wincek@hud.gov</vt:lpwstr>
  </property>
  <property fmtid="{D5CDD505-2E9C-101B-9397-08002B2CF9AE}" pid="6" name="_AuthorEmailDisplayName">
    <vt:lpwstr>Wincek, Thaddeus D</vt:lpwstr>
  </property>
  <property fmtid="{D5CDD505-2E9C-101B-9397-08002B2CF9AE}" pid="7" name="_PreviousAdHocReviewCycleID">
    <vt:i4>750304734</vt:i4>
  </property>
  <property fmtid="{D5CDD505-2E9C-101B-9397-08002B2CF9AE}" pid="8" name="_ReviewingToolsShownOnce">
    <vt:lpwstr/>
  </property>
</Properties>
</file>